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074"/>
        <w:gridCol w:w="5074"/>
      </w:tblGrid>
      <w:tr w:rsidR="00810E9F" w14:paraId="7513C6B0" w14:textId="77777777" w:rsidTr="009A0C00">
        <w:trPr>
          <w:trHeight w:val="1040"/>
          <w:jc w:val="center"/>
        </w:trPr>
        <w:tc>
          <w:tcPr>
            <w:tcW w:w="5074" w:type="dxa"/>
            <w:shd w:val="clear" w:color="auto" w:fill="162D53"/>
            <w:vAlign w:val="center"/>
          </w:tcPr>
          <w:p w14:paraId="533DE9E8" w14:textId="77777777" w:rsidR="00810E9F" w:rsidRDefault="00000000">
            <w:r>
              <w:rPr>
                <w:noProof/>
              </w:rPr>
              <w:drawing>
                <wp:inline distT="0" distB="0" distL="0" distR="0" wp14:anchorId="26FCCBF8" wp14:editId="43FDD229">
                  <wp:extent cx="1096724" cy="77533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102540" cy="779447"/>
                          </a:xfrm>
                          <a:prstGeom prst="rect">
                            <a:avLst/>
                          </a:prstGeom>
                        </pic:spPr>
                      </pic:pic>
                    </a:graphicData>
                  </a:graphic>
                </wp:inline>
              </w:drawing>
            </w:r>
          </w:p>
        </w:tc>
        <w:tc>
          <w:tcPr>
            <w:tcW w:w="5074" w:type="dxa"/>
            <w:shd w:val="clear" w:color="auto" w:fill="162D53"/>
            <w:vAlign w:val="center"/>
          </w:tcPr>
          <w:p w14:paraId="09434752" w14:textId="77777777" w:rsidR="00810E9F" w:rsidRDefault="00000000">
            <w:r>
              <w:rPr>
                <w:color w:val="FFFFFF"/>
                <w:sz w:val="16"/>
              </w:rPr>
              <w:t>Wersja robocza do wykorzystania w komunikacji z Radą Gminy, mieszkańcami, mediami i organami administracji</w:t>
            </w:r>
          </w:p>
        </w:tc>
      </w:tr>
    </w:tbl>
    <w:p w14:paraId="12BA4D18" w14:textId="77777777" w:rsidR="00810E9F" w:rsidRDefault="00000000">
      <w:pPr>
        <w:spacing w:before="360"/>
      </w:pPr>
      <w:r>
        <w:rPr>
          <w:b/>
          <w:color w:val="162D53"/>
          <w:sz w:val="50"/>
        </w:rPr>
        <w:t>STANOWISKO GREEN-EN SP. Z O.O.</w:t>
      </w:r>
    </w:p>
    <w:p w14:paraId="102C4EA4" w14:textId="77777777" w:rsidR="00810E9F" w:rsidRDefault="00000000">
      <w:r>
        <w:rPr>
          <w:b/>
          <w:color w:val="2FB56A"/>
          <w:sz w:val="32"/>
        </w:rPr>
        <w:t>w sprawie Uchwały Nr XX/141/26 Rady Gminy Bukowiec z dnia 12 czerwca 2026 r.</w:t>
      </w:r>
    </w:p>
    <w:p w14:paraId="0ED1908B" w14:textId="77777777" w:rsidR="00810E9F" w:rsidRDefault="00000000">
      <w:r>
        <w:rPr>
          <w:color w:val="162D53"/>
          <w:sz w:val="26"/>
        </w:rPr>
        <w:t>Planowana budowa Zakładu Produkcji Biometanu w Przysiersku</w:t>
      </w:r>
    </w:p>
    <w:p w14:paraId="18A2E95C" w14:textId="77777777" w:rsidR="00810E9F" w:rsidRDefault="00000000">
      <w:r>
        <w:rPr>
          <w:noProof/>
        </w:rPr>
        <w:drawing>
          <wp:inline distT="0" distB="0" distL="0" distR="0" wp14:anchorId="1B8FC35A" wp14:editId="75462151">
            <wp:extent cx="6120000" cy="2607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En__1.2.5.jpg"/>
                    <pic:cNvPicPr/>
                  </pic:nvPicPr>
                  <pic:blipFill>
                    <a:blip r:embed="rId9"/>
                    <a:stretch>
                      <a:fillRect/>
                    </a:stretch>
                  </pic:blipFill>
                  <pic:spPr>
                    <a:xfrm>
                      <a:off x="0" y="0"/>
                      <a:ext cx="6120000" cy="2607375"/>
                    </a:xfrm>
                    <a:prstGeom prst="rect">
                      <a:avLst/>
                    </a:prstGeom>
                  </pic:spPr>
                </pic:pic>
              </a:graphicData>
            </a:graphic>
          </wp:inline>
        </w:drawing>
      </w:r>
    </w:p>
    <w:tbl>
      <w:tblPr>
        <w:tblW w:w="0" w:type="auto"/>
        <w:jc w:val="center"/>
        <w:tblLook w:val="04A0" w:firstRow="1" w:lastRow="0" w:firstColumn="1" w:lastColumn="0" w:noHBand="0" w:noVBand="1"/>
      </w:tblPr>
      <w:tblGrid>
        <w:gridCol w:w="10200"/>
      </w:tblGrid>
      <w:tr w:rsidR="00810E9F" w14:paraId="3579AA82" w14:textId="77777777">
        <w:trPr>
          <w:jc w:val="center"/>
        </w:trPr>
        <w:tc>
          <w:tcPr>
            <w:tcW w:w="10200" w:type="dxa"/>
            <w:shd w:val="clear" w:color="auto" w:fill="EAF7F0"/>
          </w:tcPr>
          <w:p w14:paraId="3CDF1F20" w14:textId="77777777" w:rsidR="00810E9F" w:rsidRDefault="00000000">
            <w:r>
              <w:rPr>
                <w:b/>
                <w:color w:val="162D53"/>
                <w:sz w:val="20"/>
              </w:rPr>
              <w:t>Cel dokumentu</w:t>
            </w:r>
          </w:p>
          <w:p w14:paraId="56B9EB03" w14:textId="77777777" w:rsidR="00810E9F" w:rsidRDefault="00000000">
            <w:pPr>
              <w:spacing w:after="80"/>
            </w:pPr>
            <w:r>
              <w:rPr>
                <w:sz w:val="18"/>
              </w:rPr>
              <w:t>Niniejsze stanowisko porządkuje najważniejsze zarzuty sformułowane w uchwale i jej uzasadnieniu oraz zestawia je z dokumentacją projektową: Raportem OOŚ, uzasadnieniem projektu ZPI i analizą komunikacyjną. Dokument ma charakter merytoryczny i nie stanowi polemiki personalnej.</w:t>
            </w:r>
          </w:p>
        </w:tc>
      </w:tr>
    </w:tbl>
    <w:p w14:paraId="178EFD98" w14:textId="77777777" w:rsidR="00810E9F" w:rsidRDefault="00000000">
      <w:r>
        <w:br w:type="page"/>
      </w:r>
    </w:p>
    <w:p w14:paraId="63A364D1" w14:textId="77777777" w:rsidR="00810E9F" w:rsidRDefault="00000000">
      <w:pPr>
        <w:pBdr>
          <w:bottom w:val="single" w:sz="10" w:space="4" w:color="2FB56A"/>
        </w:pBdr>
        <w:spacing w:before="200" w:after="120" w:line="240" w:lineRule="auto"/>
      </w:pPr>
      <w:r>
        <w:rPr>
          <w:b/>
          <w:color w:val="162D53"/>
          <w:sz w:val="36"/>
        </w:rPr>
        <w:lastRenderedPageBreak/>
        <w:t>1. Wprowadzenie i najważniejsze wnioski</w:t>
      </w:r>
    </w:p>
    <w:p w14:paraId="0E5F9366" w14:textId="77777777" w:rsidR="00810E9F" w:rsidRDefault="00000000">
      <w:pPr>
        <w:spacing w:after="120" w:line="240" w:lineRule="auto"/>
      </w:pPr>
      <w:r>
        <w:t>Green-en Sp. z o.o. z szacunkiem odnosi się do prawa Rady Gminy Bukowiec do wyrażania stanowisk w sprawach istotnych dla lokalnej społeczności. Jednocześnie uchwała dotycząca planowanej inwestycji w Przysiersku zawiera tezy wymagające uzupełnienia o kontekst prawny, środowiskowy i techniczny wynikający z dokumentacji projektu.</w:t>
      </w:r>
    </w:p>
    <w:tbl>
      <w:tblPr>
        <w:tblW w:w="0" w:type="auto"/>
        <w:jc w:val="center"/>
        <w:tblLook w:val="04A0" w:firstRow="1" w:lastRow="0" w:firstColumn="1" w:lastColumn="0" w:noHBand="0" w:noVBand="1"/>
      </w:tblPr>
      <w:tblGrid>
        <w:gridCol w:w="10200"/>
      </w:tblGrid>
      <w:tr w:rsidR="00810E9F" w14:paraId="1881EF8E" w14:textId="77777777">
        <w:trPr>
          <w:jc w:val="center"/>
        </w:trPr>
        <w:tc>
          <w:tcPr>
            <w:tcW w:w="10200" w:type="dxa"/>
            <w:shd w:val="clear" w:color="auto" w:fill="DDF3F7"/>
          </w:tcPr>
          <w:p w14:paraId="03A671FF" w14:textId="77777777" w:rsidR="00810E9F" w:rsidRDefault="00000000">
            <w:r>
              <w:rPr>
                <w:b/>
                <w:color w:val="162D53"/>
                <w:sz w:val="20"/>
              </w:rPr>
              <w:t>Wniosek główny</w:t>
            </w:r>
          </w:p>
          <w:p w14:paraId="236FF11F" w14:textId="77777777" w:rsidR="00810E9F" w:rsidRDefault="00000000">
            <w:pPr>
              <w:spacing w:after="80"/>
            </w:pPr>
            <w:r>
              <w:rPr>
                <w:sz w:val="18"/>
              </w:rPr>
              <w:t>Uchwała wskazuje na ryzyka: zapachowe, transportowe, środowiskowe, krajobrazowe oraz związane z jakością życia. Dokumentacja projektu nie ignoruje tych zagadnień — przeciwnie, są one przedmiotem odrębnych analiz w Raporcie OOŚ, projekcie ZPI oraz analizie komunikacyjnej. Ostateczna ocena tych zagadnień należy do właściwych organów administracji w ustawowych procedurach.</w:t>
            </w:r>
          </w:p>
        </w:tc>
      </w:tr>
    </w:tbl>
    <w:p w14:paraId="4BCFE464" w14:textId="77777777" w:rsidR="00810E9F" w:rsidRDefault="00000000">
      <w:pPr>
        <w:spacing w:after="120" w:line="240" w:lineRule="auto"/>
      </w:pPr>
      <w:r>
        <w:t>Stanowisko Green-en opiera się na następujących zasadach:</w:t>
      </w:r>
    </w:p>
    <w:p w14:paraId="0179A6F3" w14:textId="77777777" w:rsidR="00810E9F" w:rsidRDefault="00000000">
      <w:pPr>
        <w:pStyle w:val="Listapunktowana"/>
        <w:spacing w:after="40" w:line="240" w:lineRule="auto"/>
      </w:pPr>
      <w:r>
        <w:t>oddzielenie obaw społecznych od ustaleń dokumentacji projektowej;</w:t>
      </w:r>
    </w:p>
    <w:p w14:paraId="33066ADB" w14:textId="77777777" w:rsidR="00810E9F" w:rsidRDefault="00000000">
      <w:pPr>
        <w:pStyle w:val="Listapunktowana"/>
        <w:spacing w:after="40" w:line="240" w:lineRule="auto"/>
      </w:pPr>
      <w:r>
        <w:t>odniesienie każdego zarzutu do dokumentów źródłowych;</w:t>
      </w:r>
    </w:p>
    <w:p w14:paraId="183E1E57" w14:textId="77777777" w:rsidR="00810E9F" w:rsidRDefault="00000000">
      <w:pPr>
        <w:pStyle w:val="Listapunktowana"/>
        <w:spacing w:after="40" w:line="240" w:lineRule="auto"/>
      </w:pPr>
      <w:r>
        <w:t>zachowanie języka faktów, bez przypisywania motywacji radnym lub mieszkańcom;</w:t>
      </w:r>
    </w:p>
    <w:p w14:paraId="221EB93A" w14:textId="77777777" w:rsidR="00810E9F" w:rsidRDefault="00000000">
      <w:pPr>
        <w:pStyle w:val="Listapunktowana"/>
        <w:spacing w:after="40" w:line="240" w:lineRule="auto"/>
      </w:pPr>
      <w:r>
        <w:t>deklaracja dialogu i gotowości do wyjaśniania wątpliwości.</w:t>
      </w:r>
    </w:p>
    <w:p w14:paraId="0FB49817" w14:textId="77777777" w:rsidR="00810E9F" w:rsidRDefault="00000000">
      <w:pPr>
        <w:pBdr>
          <w:bottom w:val="single" w:sz="6" w:space="4" w:color="00A4E0"/>
        </w:pBdr>
        <w:spacing w:before="200" w:after="120" w:line="240" w:lineRule="auto"/>
      </w:pPr>
      <w:r>
        <w:rPr>
          <w:b/>
          <w:color w:val="162D53"/>
          <w:sz w:val="26"/>
        </w:rPr>
        <w:t>2. Dokumenty źródłowe wykorzystane w stanowisku</w:t>
      </w:r>
    </w:p>
    <w:p w14:paraId="1E3B540E" w14:textId="77777777" w:rsidR="00810E9F" w:rsidRDefault="00000000">
      <w:pPr>
        <w:spacing w:after="60" w:line="240" w:lineRule="auto"/>
      </w:pPr>
      <w:r>
        <w:rPr>
          <w:b/>
        </w:rPr>
        <w:t>Uchwała Nr XX/141/26 Rady Gminy Bukowiec z dnia 12 czerwca 2026 r.</w:t>
      </w:r>
      <w:r>
        <w:t xml:space="preserve"> — dokument zawierający sprzeciw wobec planowanej budowy biometanowni oraz wskazanie głównych obaw: odory, transport, środowisko, jakość życia, walory rolnicze i turystyczne.</w:t>
      </w:r>
    </w:p>
    <w:p w14:paraId="651466ED" w14:textId="77777777" w:rsidR="00810E9F" w:rsidRDefault="00000000">
      <w:pPr>
        <w:spacing w:after="60" w:line="240" w:lineRule="auto"/>
      </w:pPr>
      <w:r>
        <w:rPr>
          <w:b/>
        </w:rPr>
        <w:t>Raport o oddziaływaniu przedsięwzięcia na środowisko, Energoprojekt Warszawa S.A., czerwiec 2026 r.</w:t>
      </w:r>
      <w:r>
        <w:t xml:space="preserve"> — raport OOŚ dla Zakładu produkcji paliw organicznych, w tym biometanu, na działce nr 338/20 w Przysiersku; obejmuje m.in. analizę powietrza, hałasu, wód, przyrody, krajobrazu, odorów, klimatu, awarii, BAT i monitoringu.</w:t>
      </w:r>
    </w:p>
    <w:p w14:paraId="5ABD7F61" w14:textId="77777777" w:rsidR="00810E9F" w:rsidRDefault="00000000">
      <w:pPr>
        <w:spacing w:after="60" w:line="240" w:lineRule="auto"/>
      </w:pPr>
      <w:r>
        <w:rPr>
          <w:b/>
        </w:rPr>
        <w:t>Uzasadnienie projektu Zintegrowanego Planu Inwestycyjnego obszaru w obrębie Przysiersk, gmina Bukowiec.</w:t>
      </w:r>
      <w:r>
        <w:t xml:space="preserve"> — dokument opisujący podstawy prawne ZPI, inwestycję główną, inwestycję uzupełniającą w postaci drogi, uwarunkowania planistyczne oraz cele publiczne i gospodarcze projektu.</w:t>
      </w:r>
    </w:p>
    <w:p w14:paraId="32CC9656" w14:textId="77777777" w:rsidR="00810E9F" w:rsidRDefault="00000000">
      <w:pPr>
        <w:spacing w:after="60" w:line="240" w:lineRule="auto"/>
      </w:pPr>
      <w:r>
        <w:rPr>
          <w:b/>
        </w:rPr>
        <w:t>Analiza rozwiązania komunikacyjnego do ZPI, TERION Projekty Drogowe, marzec 2026 r.</w:t>
      </w:r>
      <w:r>
        <w:t xml:space="preserve"> — opracowanie oceniające możliwość wykonania drogi publicznej, obsługi transportowej inwestycji i wpływu projektowanego układu drogowego na warunki lokalne.</w:t>
      </w:r>
    </w:p>
    <w:p w14:paraId="6DB042DF" w14:textId="77777777" w:rsidR="00810E9F" w:rsidRDefault="00000000">
      <w:pPr>
        <w:pBdr>
          <w:bottom w:val="single" w:sz="10" w:space="4" w:color="2FB56A"/>
        </w:pBdr>
        <w:spacing w:before="200" w:after="120" w:line="240" w:lineRule="auto"/>
      </w:pPr>
      <w:r>
        <w:rPr>
          <w:b/>
          <w:color w:val="162D53"/>
          <w:sz w:val="36"/>
        </w:rPr>
        <w:t>3. Charakter uchwały i zakres odpowiedzi</w:t>
      </w:r>
    </w:p>
    <w:p w14:paraId="1E0258DA" w14:textId="77777777" w:rsidR="00810E9F" w:rsidRDefault="00000000">
      <w:pPr>
        <w:spacing w:after="120" w:line="240" w:lineRule="auto"/>
      </w:pPr>
      <w:r>
        <w:t>Uchwała Nr XX/141/26 ma charakter stanowiska organu stanowiącego gminy. Nie zastępuje ona decyzji środowiskowej, uzgodnień organów wyspecjalizowanych ani procedury planistycznej. Dlatego stanowisko Green-en nie kwestionuje prawa Rady do wyrażenia opinii, lecz wskazuje, że ocena przedsięwzięcia powinna być oparta na pełnym materiale dowodowym.</w:t>
      </w:r>
    </w:p>
    <w:tbl>
      <w:tblPr>
        <w:tblW w:w="0" w:type="auto"/>
        <w:jc w:val="center"/>
        <w:tblLook w:val="04A0" w:firstRow="1" w:lastRow="0" w:firstColumn="1" w:lastColumn="0" w:noHBand="0" w:noVBand="1"/>
      </w:tblPr>
      <w:tblGrid>
        <w:gridCol w:w="10200"/>
      </w:tblGrid>
      <w:tr w:rsidR="00810E9F" w14:paraId="07FE5001" w14:textId="77777777">
        <w:trPr>
          <w:jc w:val="center"/>
        </w:trPr>
        <w:tc>
          <w:tcPr>
            <w:tcW w:w="10200" w:type="dxa"/>
            <w:shd w:val="clear" w:color="auto" w:fill="EAF7F0"/>
          </w:tcPr>
          <w:p w14:paraId="5B177624" w14:textId="77777777" w:rsidR="00810E9F" w:rsidRDefault="00000000">
            <w:r>
              <w:rPr>
                <w:b/>
                <w:color w:val="162D53"/>
                <w:sz w:val="20"/>
              </w:rPr>
              <w:t>Zakres odpowiedzi</w:t>
            </w:r>
          </w:p>
          <w:p w14:paraId="2E1C1FD7" w14:textId="77777777" w:rsidR="00810E9F" w:rsidRDefault="00000000">
            <w:pPr>
              <w:spacing w:after="80"/>
            </w:pPr>
            <w:r>
              <w:rPr>
                <w:sz w:val="18"/>
              </w:rPr>
              <w:t>Odpowiedź odnosi się do zarzutów wskazanych w uchwale i jej uzasadnieniu: skali inwestycji, zgodności z charakterem gminy, uciążliwości zapachowych, emisji do powietrza, ruchu ciężarowego, pofermentu, krajobrazu, jakości życia oraz wartości nieruchomości.</w:t>
            </w:r>
          </w:p>
        </w:tc>
      </w:tr>
    </w:tbl>
    <w:p w14:paraId="424FE21F" w14:textId="77777777" w:rsidR="00810E9F" w:rsidRDefault="00000000">
      <w:pPr>
        <w:pBdr>
          <w:bottom w:val="single" w:sz="10" w:space="4" w:color="2FB56A"/>
        </w:pBdr>
        <w:spacing w:before="200" w:after="120" w:line="240" w:lineRule="auto"/>
      </w:pPr>
      <w:r>
        <w:rPr>
          <w:b/>
          <w:color w:val="162D53"/>
          <w:sz w:val="36"/>
        </w:rPr>
        <w:t>4. Tabela: Zarzut Rady - stan faktyczny - dowody</w:t>
      </w:r>
    </w:p>
    <w:tbl>
      <w:tblPr>
        <w:tblStyle w:val="Tabela-Siatka"/>
        <w:tblW w:w="0" w:type="auto"/>
        <w:jc w:val="center"/>
        <w:tblLook w:val="04A0" w:firstRow="1" w:lastRow="0" w:firstColumn="1" w:lastColumn="0" w:noHBand="0" w:noVBand="1"/>
      </w:tblPr>
      <w:tblGrid>
        <w:gridCol w:w="2268"/>
        <w:gridCol w:w="2948"/>
        <w:gridCol w:w="2381"/>
        <w:gridCol w:w="2268"/>
      </w:tblGrid>
      <w:tr w:rsidR="00810E9F" w14:paraId="570E69AF" w14:textId="77777777">
        <w:trPr>
          <w:jc w:val="center"/>
        </w:trPr>
        <w:tc>
          <w:tcPr>
            <w:tcW w:w="2268" w:type="dxa"/>
            <w:shd w:val="clear" w:color="auto" w:fill="162D53"/>
          </w:tcPr>
          <w:p w14:paraId="0DA29C1A" w14:textId="77777777" w:rsidR="00810E9F" w:rsidRDefault="00000000">
            <w:r>
              <w:rPr>
                <w:b/>
                <w:color w:val="FFFFFF"/>
                <w:sz w:val="16"/>
              </w:rPr>
              <w:t>Zarzut / obawa z uchwały</w:t>
            </w:r>
          </w:p>
        </w:tc>
        <w:tc>
          <w:tcPr>
            <w:tcW w:w="2948" w:type="dxa"/>
            <w:shd w:val="clear" w:color="auto" w:fill="162D53"/>
          </w:tcPr>
          <w:p w14:paraId="324B46F2" w14:textId="77777777" w:rsidR="00810E9F" w:rsidRDefault="00000000">
            <w:r>
              <w:rPr>
                <w:b/>
                <w:color w:val="FFFFFF"/>
                <w:sz w:val="16"/>
              </w:rPr>
              <w:t>Stan faktyczny wynikający z dokumentacji</w:t>
            </w:r>
          </w:p>
        </w:tc>
        <w:tc>
          <w:tcPr>
            <w:tcW w:w="2381" w:type="dxa"/>
            <w:shd w:val="clear" w:color="auto" w:fill="162D53"/>
          </w:tcPr>
          <w:p w14:paraId="0CED7FEB" w14:textId="77777777" w:rsidR="00810E9F" w:rsidRDefault="00000000">
            <w:r>
              <w:rPr>
                <w:b/>
                <w:color w:val="FFFFFF"/>
                <w:sz w:val="16"/>
              </w:rPr>
              <w:t>Dowody źródłowe</w:t>
            </w:r>
          </w:p>
        </w:tc>
        <w:tc>
          <w:tcPr>
            <w:tcW w:w="2268" w:type="dxa"/>
            <w:shd w:val="clear" w:color="auto" w:fill="162D53"/>
          </w:tcPr>
          <w:p w14:paraId="0E511139" w14:textId="77777777" w:rsidR="00810E9F" w:rsidRDefault="00000000">
            <w:r>
              <w:rPr>
                <w:b/>
                <w:color w:val="FFFFFF"/>
                <w:sz w:val="16"/>
              </w:rPr>
              <w:t>Wniosek Green-en</w:t>
            </w:r>
          </w:p>
        </w:tc>
      </w:tr>
      <w:tr w:rsidR="00810E9F" w14:paraId="2D607964" w14:textId="77777777">
        <w:trPr>
          <w:jc w:val="center"/>
        </w:trPr>
        <w:tc>
          <w:tcPr>
            <w:tcW w:w="2268" w:type="dxa"/>
          </w:tcPr>
          <w:p w14:paraId="5EF93E55" w14:textId="77777777" w:rsidR="00810E9F" w:rsidRDefault="00000000">
            <w:r>
              <w:rPr>
                <w:sz w:val="14"/>
              </w:rPr>
              <w:t>Planowana jest „wielka biometanownia”, której skala jest nieakceptowalna.</w:t>
            </w:r>
          </w:p>
        </w:tc>
        <w:tc>
          <w:tcPr>
            <w:tcW w:w="2948" w:type="dxa"/>
          </w:tcPr>
          <w:p w14:paraId="1AD921F7" w14:textId="77777777" w:rsidR="00810E9F" w:rsidRDefault="00000000">
            <w:r>
              <w:rPr>
                <w:sz w:val="14"/>
              </w:rPr>
              <w:t>Raport OOŚ jednoznacznie opisuje parametry przedsięwzięcia: dwa etapy, łączna produkcja biometanu ok. 10,9 mln Nm3/rok, maksymalna roczna ilość substratów ok. 360 tys. Mg/rok. Skala przedsięwzięcia jest zatem określona, mierzalna i objęta analizą środowiskową.</w:t>
            </w:r>
          </w:p>
        </w:tc>
        <w:tc>
          <w:tcPr>
            <w:tcW w:w="2381" w:type="dxa"/>
          </w:tcPr>
          <w:p w14:paraId="16F8C777" w14:textId="77777777" w:rsidR="00810E9F" w:rsidRDefault="00000000">
            <w:r>
              <w:rPr>
                <w:sz w:val="14"/>
              </w:rPr>
              <w:t>Raport OOŚ, rozdz. 1.1, s. 13-14: opis przedmiotu, etapowania, produkcji i ilości substratów.</w:t>
            </w:r>
          </w:p>
        </w:tc>
        <w:tc>
          <w:tcPr>
            <w:tcW w:w="2268" w:type="dxa"/>
          </w:tcPr>
          <w:p w14:paraId="6108E5B0" w14:textId="77777777" w:rsidR="00810E9F" w:rsidRDefault="00000000">
            <w:r>
              <w:rPr>
                <w:sz w:val="14"/>
              </w:rPr>
              <w:t>Skala projektu nie powinna być oceniana wyłącznie opisowo. Jest ona przedstawiona w dokumentacji i podlega ocenie organów w procedurze OOŚ.</w:t>
            </w:r>
          </w:p>
        </w:tc>
      </w:tr>
      <w:tr w:rsidR="00810E9F" w14:paraId="6E2FE9FD" w14:textId="77777777">
        <w:trPr>
          <w:jc w:val="center"/>
        </w:trPr>
        <w:tc>
          <w:tcPr>
            <w:tcW w:w="2268" w:type="dxa"/>
          </w:tcPr>
          <w:p w14:paraId="691DACBE" w14:textId="77777777" w:rsidR="00810E9F" w:rsidRDefault="00000000">
            <w:r>
              <w:rPr>
                <w:sz w:val="14"/>
              </w:rPr>
              <w:t>Inwestycja jest sprzeczna z charakterem rolniczym gminy.</w:t>
            </w:r>
          </w:p>
        </w:tc>
        <w:tc>
          <w:tcPr>
            <w:tcW w:w="2948" w:type="dxa"/>
          </w:tcPr>
          <w:p w14:paraId="3278F6CD" w14:textId="77777777" w:rsidR="00810E9F" w:rsidRDefault="00000000">
            <w:r>
              <w:rPr>
                <w:sz w:val="14"/>
              </w:rPr>
              <w:t xml:space="preserve">ZPI kwalifikuje inwestycję główną jako produkcję energii z OZE. Uzasadnienie ZPI wskazuje, że teren inwestycji głównej znajduje się w granicach pozostałych </w:t>
            </w:r>
            <w:r>
              <w:rPr>
                <w:sz w:val="14"/>
              </w:rPr>
              <w:lastRenderedPageBreak/>
              <w:t>użytków rolnych oraz w obszarze orientacyjnego rozmieszczenia elektrowni wiatrowych. Procedura ZPI została przewidziana właśnie dla tego rodzaju inwestycji, a inwestycja uzupełniająca ma dotyczyć drogi.</w:t>
            </w:r>
          </w:p>
        </w:tc>
        <w:tc>
          <w:tcPr>
            <w:tcW w:w="2381" w:type="dxa"/>
          </w:tcPr>
          <w:p w14:paraId="65A0E106" w14:textId="77777777" w:rsidR="00810E9F" w:rsidRDefault="00000000">
            <w:r>
              <w:rPr>
                <w:sz w:val="14"/>
              </w:rPr>
              <w:lastRenderedPageBreak/>
              <w:t>Uzasadnienie ZPI, s. 1: opis ZPI, inwestycji głównej i uzupełniającej; Raport OOŚ, s. 25: brak MPZP i położenie względem Studium.</w:t>
            </w:r>
          </w:p>
        </w:tc>
        <w:tc>
          <w:tcPr>
            <w:tcW w:w="2268" w:type="dxa"/>
          </w:tcPr>
          <w:p w14:paraId="67E5991D" w14:textId="77777777" w:rsidR="00810E9F" w:rsidRDefault="00000000">
            <w:r>
              <w:rPr>
                <w:sz w:val="14"/>
              </w:rPr>
              <w:t xml:space="preserve">Rolniczy charakter gminy nie wyklucza instalacji OZE. Przeciwnie, biometanownia może funkcjonować jako </w:t>
            </w:r>
            <w:r>
              <w:rPr>
                <w:sz w:val="14"/>
              </w:rPr>
              <w:lastRenderedPageBreak/>
              <w:t>element gospodarki rolnej, wykorzystując produkty uboczne rolnictwa.</w:t>
            </w:r>
          </w:p>
        </w:tc>
      </w:tr>
      <w:tr w:rsidR="00810E9F" w14:paraId="01CEC7A9" w14:textId="77777777">
        <w:trPr>
          <w:jc w:val="center"/>
        </w:trPr>
        <w:tc>
          <w:tcPr>
            <w:tcW w:w="2268" w:type="dxa"/>
          </w:tcPr>
          <w:p w14:paraId="3F3083CC" w14:textId="77777777" w:rsidR="00810E9F" w:rsidRDefault="00000000">
            <w:r>
              <w:rPr>
                <w:sz w:val="14"/>
              </w:rPr>
              <w:lastRenderedPageBreak/>
              <w:t>Ryzyko uciążliwości zapachowych.</w:t>
            </w:r>
          </w:p>
        </w:tc>
        <w:tc>
          <w:tcPr>
            <w:tcW w:w="2948" w:type="dxa"/>
          </w:tcPr>
          <w:p w14:paraId="433D10BC" w14:textId="77777777" w:rsidR="00810E9F" w:rsidRDefault="00000000">
            <w:r>
              <w:rPr>
                <w:sz w:val="14"/>
              </w:rPr>
              <w:t>Raport OOŚ zawiera odrębny rozdział „Emisja odorów” oraz rozdział dotyczący zapobiegania rozprzestrzenianiu się odorów. Raport uwzględnia także Kodeks przeciwdziałania uciążliwości zapachowej jako źródło metodyczne.</w:t>
            </w:r>
          </w:p>
        </w:tc>
        <w:tc>
          <w:tcPr>
            <w:tcW w:w="2381" w:type="dxa"/>
          </w:tcPr>
          <w:p w14:paraId="18B7DE28" w14:textId="77777777" w:rsidR="00810E9F" w:rsidRDefault="00000000">
            <w:r>
              <w:rPr>
                <w:sz w:val="14"/>
              </w:rPr>
              <w:t>Raport OOŚ, spis treści: rozdz. 9.1.16 „Emisja odorów”, rozdz. 14.5 „Zapobieganie rozprzestrzenianiu się odorom”; źródła raportu: Kodeks przeciwdziałania uciążliwości zapachowej.</w:t>
            </w:r>
          </w:p>
        </w:tc>
        <w:tc>
          <w:tcPr>
            <w:tcW w:w="2268" w:type="dxa"/>
          </w:tcPr>
          <w:p w14:paraId="60D2608C" w14:textId="77777777" w:rsidR="00810E9F" w:rsidRDefault="00000000">
            <w:r>
              <w:rPr>
                <w:sz w:val="14"/>
              </w:rPr>
              <w:t>Ryzyko odorowe nie jest pominięte. Powinno być oceniane w oparciu o raport i warunki decyzji środowiskowej, a nie jako okoliczność z góry przesądzona.</w:t>
            </w:r>
          </w:p>
        </w:tc>
      </w:tr>
      <w:tr w:rsidR="00810E9F" w14:paraId="54DE385F" w14:textId="77777777">
        <w:trPr>
          <w:jc w:val="center"/>
        </w:trPr>
        <w:tc>
          <w:tcPr>
            <w:tcW w:w="2268" w:type="dxa"/>
          </w:tcPr>
          <w:p w14:paraId="74CE47FA" w14:textId="77777777" w:rsidR="00810E9F" w:rsidRDefault="00000000">
            <w:r>
              <w:rPr>
                <w:sz w:val="14"/>
              </w:rPr>
              <w:t>Emisja zanieczyszczeń powietrza.</w:t>
            </w:r>
          </w:p>
        </w:tc>
        <w:tc>
          <w:tcPr>
            <w:tcW w:w="2948" w:type="dxa"/>
          </w:tcPr>
          <w:p w14:paraId="28AC3AC2" w14:textId="77777777" w:rsidR="00810E9F" w:rsidRDefault="00000000">
            <w:r>
              <w:rPr>
                <w:sz w:val="14"/>
              </w:rPr>
              <w:t>Raport OOŚ zawiera obliczenia emisji do powietrza oraz odnosi projektowane źródła emisji do wartości odniesienia i standardów jakości powietrza. Wskazuje m.in. konieczność zastosowania środków ograniczających emisje oraz właściwego sposobu odprowadzania gazów odlotowych.</w:t>
            </w:r>
          </w:p>
        </w:tc>
        <w:tc>
          <w:tcPr>
            <w:tcW w:w="2381" w:type="dxa"/>
          </w:tcPr>
          <w:p w14:paraId="7256F579" w14:textId="77777777" w:rsidR="00810E9F" w:rsidRDefault="00000000">
            <w:r>
              <w:rPr>
                <w:sz w:val="14"/>
              </w:rPr>
              <w:t>Raport OOŚ, rozdz. 9.1.1; tabela 9-2 na s. 115: wartości odniesienia dla amoniaku, NO2, SO2, PM10, PM2,5, siarkowodoru i innych substancji; rozdz. 14.1 „Ochrona powietrza”.</w:t>
            </w:r>
          </w:p>
        </w:tc>
        <w:tc>
          <w:tcPr>
            <w:tcW w:w="2268" w:type="dxa"/>
          </w:tcPr>
          <w:p w14:paraId="0D140A5D" w14:textId="77777777" w:rsidR="00810E9F" w:rsidRDefault="00000000">
            <w:r>
              <w:rPr>
                <w:sz w:val="14"/>
              </w:rPr>
              <w:t>Twierdzenie o emisjach powinno być oceniane na podstawie obliczeń i standardów prawnych, które zostały uwzględnione w raporcie OOŚ.</w:t>
            </w:r>
          </w:p>
        </w:tc>
      </w:tr>
      <w:tr w:rsidR="00810E9F" w14:paraId="0A1D9DE4" w14:textId="77777777">
        <w:trPr>
          <w:jc w:val="center"/>
        </w:trPr>
        <w:tc>
          <w:tcPr>
            <w:tcW w:w="2268" w:type="dxa"/>
          </w:tcPr>
          <w:p w14:paraId="6C258341" w14:textId="77777777" w:rsidR="00810E9F" w:rsidRDefault="00000000">
            <w:r>
              <w:rPr>
                <w:sz w:val="14"/>
              </w:rPr>
              <w:t>Znaczny wzrost ruchu ciężkiego transportu.</w:t>
            </w:r>
          </w:p>
        </w:tc>
        <w:tc>
          <w:tcPr>
            <w:tcW w:w="2948" w:type="dxa"/>
          </w:tcPr>
          <w:p w14:paraId="76294048" w14:textId="77777777" w:rsidR="00810E9F" w:rsidRDefault="00000000">
            <w:r>
              <w:rPr>
                <w:sz w:val="14"/>
              </w:rPr>
              <w:t>Dla projektu opracowano odrębną analizę komunikacyjną. Zakłada ona ruch pojazdów ciężarowych z przyczepami w ilości ok. 20 pojazdów na dobę na pas ruchu oraz budowę nowej drogi gminnej o parametrach dostosowanych do ruchu ciężkiego.</w:t>
            </w:r>
          </w:p>
        </w:tc>
        <w:tc>
          <w:tcPr>
            <w:tcW w:w="2381" w:type="dxa"/>
          </w:tcPr>
          <w:p w14:paraId="27940B1C" w14:textId="77777777" w:rsidR="00810E9F" w:rsidRDefault="00000000">
            <w:r>
              <w:rPr>
                <w:sz w:val="14"/>
              </w:rPr>
              <w:t>Analiza komunikacyjna TERION, s. 4-7: cel opracowania, założenia ruchu ok. 20 poj./doba/pas, droga gminna klasy L, KR3, szerokość jezdni 5,50 m, pobocza 0,75 m, zatoka postojowa.</w:t>
            </w:r>
          </w:p>
        </w:tc>
        <w:tc>
          <w:tcPr>
            <w:tcW w:w="2268" w:type="dxa"/>
          </w:tcPr>
          <w:p w14:paraId="757AFBDF" w14:textId="77777777" w:rsidR="00810E9F" w:rsidRDefault="00000000">
            <w:r>
              <w:rPr>
                <w:sz w:val="14"/>
              </w:rPr>
              <w:t>Transport został opisany i zaprojektowany jako element inwestycji uzupełniającej. Dokumentacja przewiduje rozwiązania ograniczające chaotyczny ruch i poprawiające bezpieczeństwo.</w:t>
            </w:r>
          </w:p>
        </w:tc>
      </w:tr>
      <w:tr w:rsidR="00810E9F" w14:paraId="1BF8EC57" w14:textId="77777777">
        <w:trPr>
          <w:jc w:val="center"/>
        </w:trPr>
        <w:tc>
          <w:tcPr>
            <w:tcW w:w="2268" w:type="dxa"/>
          </w:tcPr>
          <w:p w14:paraId="2D3EDB51" w14:textId="77777777" w:rsidR="00810E9F" w:rsidRDefault="00000000">
            <w:r>
              <w:rPr>
                <w:sz w:val="14"/>
              </w:rPr>
              <w:t>Oddziaływanie pofermentu.</w:t>
            </w:r>
          </w:p>
        </w:tc>
        <w:tc>
          <w:tcPr>
            <w:tcW w:w="2948" w:type="dxa"/>
          </w:tcPr>
          <w:p w14:paraId="5F7081B3" w14:textId="77777777" w:rsidR="00810E9F" w:rsidRDefault="00000000">
            <w:r>
              <w:rPr>
                <w:sz w:val="14"/>
              </w:rPr>
              <w:t>Raport OOŚ określa ilość pozostałości pofermentacyjnych oraz obejmuje gospodarkę odpadami i substancjami powstającymi w procesie. Całkowitą ilość pozostałości pofermentacyjnych oszacowano maksymalnie na ok. 334 tys. Mg/rok.</w:t>
            </w:r>
          </w:p>
        </w:tc>
        <w:tc>
          <w:tcPr>
            <w:tcW w:w="2381" w:type="dxa"/>
          </w:tcPr>
          <w:p w14:paraId="7A2C909B" w14:textId="77777777" w:rsidR="00810E9F" w:rsidRDefault="00000000">
            <w:r>
              <w:rPr>
                <w:sz w:val="14"/>
              </w:rPr>
              <w:t>Raport OOŚ, s. 14: ilość pozostałości pofermentacyjnych; rozdz. 9.1.5 „Gospodarka odpadami”; rozdz. 14.4 „Gospodarka odpadami”.</w:t>
            </w:r>
          </w:p>
        </w:tc>
        <w:tc>
          <w:tcPr>
            <w:tcW w:w="2268" w:type="dxa"/>
          </w:tcPr>
          <w:p w14:paraId="1AB48FAF" w14:textId="77777777" w:rsidR="00810E9F" w:rsidRDefault="00000000">
            <w:r>
              <w:rPr>
                <w:sz w:val="14"/>
              </w:rPr>
              <w:t>Poferment nie powinien być przedstawiany wyłącznie jako zagrożenie. Jego ilość i sposób zagospodarowania są elementem dokumentacji i podlegają kontroli w procedurach środowiskowych.</w:t>
            </w:r>
          </w:p>
        </w:tc>
      </w:tr>
      <w:tr w:rsidR="00810E9F" w14:paraId="7EA5C9B1" w14:textId="77777777">
        <w:trPr>
          <w:jc w:val="center"/>
        </w:trPr>
        <w:tc>
          <w:tcPr>
            <w:tcW w:w="2268" w:type="dxa"/>
          </w:tcPr>
          <w:p w14:paraId="378F8F30" w14:textId="77777777" w:rsidR="00810E9F" w:rsidRDefault="00000000">
            <w:r>
              <w:rPr>
                <w:sz w:val="14"/>
              </w:rPr>
              <w:t>Negatywny wpływ na krajobraz oraz walory rolnicze i turystyczne.</w:t>
            </w:r>
          </w:p>
        </w:tc>
        <w:tc>
          <w:tcPr>
            <w:tcW w:w="2948" w:type="dxa"/>
          </w:tcPr>
          <w:p w14:paraId="1974E627" w14:textId="77777777" w:rsidR="00810E9F" w:rsidRDefault="00000000">
            <w:r>
              <w:rPr>
                <w:sz w:val="14"/>
              </w:rPr>
              <w:t>Uzasadnienie ZPI wskazuje, że obszar inwestycji głównej jest niezagospodarowany, nie występują na nim formy ochrony przyrody, a audyt krajobrazowy województwa nie wyznaczył w analizowanym terenie krajobrazów priorytetowych. Raport OOŚ zawiera odrębny rozdział dotyczący krajobrazu.</w:t>
            </w:r>
          </w:p>
        </w:tc>
        <w:tc>
          <w:tcPr>
            <w:tcW w:w="2381" w:type="dxa"/>
          </w:tcPr>
          <w:p w14:paraId="34AE251C" w14:textId="77777777" w:rsidR="00810E9F" w:rsidRDefault="00000000">
            <w:r>
              <w:rPr>
                <w:sz w:val="14"/>
              </w:rPr>
              <w:t>Uzasadnienie ZPI, s. 1-2: brak form ochrony przyrody i krajobrazów priorytetowych; Raport OOŚ, rozdz. 4.6 „Opis krajobrazu”, rozdz. 9.1.6 „Wpływ na krajobraz”.</w:t>
            </w:r>
          </w:p>
        </w:tc>
        <w:tc>
          <w:tcPr>
            <w:tcW w:w="2268" w:type="dxa"/>
          </w:tcPr>
          <w:p w14:paraId="17D26CD4" w14:textId="77777777" w:rsidR="00810E9F" w:rsidRDefault="00000000">
            <w:r>
              <w:rPr>
                <w:sz w:val="14"/>
              </w:rPr>
              <w:t>Krajobraz jest przedmiotem analizy, ale uchwała nie zestawia swoich wniosków z ustaleniami dokumentacji planistycznej i środowiskowej.</w:t>
            </w:r>
          </w:p>
        </w:tc>
      </w:tr>
      <w:tr w:rsidR="00810E9F" w14:paraId="054CDC62" w14:textId="77777777">
        <w:trPr>
          <w:jc w:val="center"/>
        </w:trPr>
        <w:tc>
          <w:tcPr>
            <w:tcW w:w="2268" w:type="dxa"/>
          </w:tcPr>
          <w:p w14:paraId="393792D9" w14:textId="77777777" w:rsidR="00810E9F" w:rsidRDefault="00000000">
            <w:r>
              <w:rPr>
                <w:sz w:val="14"/>
              </w:rPr>
              <w:t>Obniżenie jakości życia mieszkańców.</w:t>
            </w:r>
          </w:p>
        </w:tc>
        <w:tc>
          <w:tcPr>
            <w:tcW w:w="2948" w:type="dxa"/>
          </w:tcPr>
          <w:p w14:paraId="240958F0" w14:textId="77777777" w:rsidR="00810E9F" w:rsidRDefault="00000000">
            <w:r>
              <w:rPr>
                <w:sz w:val="14"/>
              </w:rPr>
              <w:t>Uzasadnienie ZPI wskazuje, że w obrębie terenu inwestycji nie zamieszkują ludzie, a zagospodarowanie zgodne z planem nie będzie powodowało zagrożenia dla bezpieczeństwa ludzi i mienia. Raport OOŚ zawiera odrębny podrozdział dotyczący wpływu na ludzi.</w:t>
            </w:r>
          </w:p>
        </w:tc>
        <w:tc>
          <w:tcPr>
            <w:tcW w:w="2381" w:type="dxa"/>
          </w:tcPr>
          <w:p w14:paraId="15A5BB51" w14:textId="77777777" w:rsidR="00810E9F" w:rsidRDefault="00000000">
            <w:r>
              <w:rPr>
                <w:sz w:val="14"/>
              </w:rPr>
              <w:t>Uzasadnienie ZPI, s. 3: brak zamieszkania na terenie inwestycji i brak zagrożenia dla bezpieczeństwa ludzi i mienia przy zgodności z planem; Raport OOŚ, rozdz. 9.1.11 „Wpływ na ludzi”.</w:t>
            </w:r>
          </w:p>
        </w:tc>
        <w:tc>
          <w:tcPr>
            <w:tcW w:w="2268" w:type="dxa"/>
          </w:tcPr>
          <w:p w14:paraId="120FDAE2" w14:textId="77777777" w:rsidR="00810E9F" w:rsidRDefault="00000000">
            <w:r>
              <w:rPr>
                <w:sz w:val="14"/>
              </w:rPr>
              <w:t>Jakość życia jest ważnym kryterium, ale wymaga oceny na podstawie hałasu, powietrza, ruchu, odorów i bezpieczeństwa, a te zagadnienia są analizowane w dokumentacji.</w:t>
            </w:r>
          </w:p>
        </w:tc>
      </w:tr>
      <w:tr w:rsidR="00810E9F" w14:paraId="43DE370D" w14:textId="77777777">
        <w:trPr>
          <w:jc w:val="center"/>
        </w:trPr>
        <w:tc>
          <w:tcPr>
            <w:tcW w:w="2268" w:type="dxa"/>
          </w:tcPr>
          <w:p w14:paraId="70AF4BA1" w14:textId="77777777" w:rsidR="00810E9F" w:rsidRDefault="00000000">
            <w:r>
              <w:rPr>
                <w:sz w:val="14"/>
              </w:rPr>
              <w:t>Obniżenie wartości nieruchomości.</w:t>
            </w:r>
          </w:p>
        </w:tc>
        <w:tc>
          <w:tcPr>
            <w:tcW w:w="2948" w:type="dxa"/>
          </w:tcPr>
          <w:p w14:paraId="0FF549E4" w14:textId="77777777" w:rsidR="00810E9F" w:rsidRDefault="00000000">
            <w:r>
              <w:rPr>
                <w:sz w:val="14"/>
              </w:rPr>
              <w:t>Uchwała formułuje tę obawę, ale nie przedstawia analizy rynku nieruchomości. Dokumentacja ZPI wskazuje natomiast na walory ekonomiczne przestrzeni, wzrost atrakcyjności inwestycyjnej oraz efektywność ekonomiczną gminy.</w:t>
            </w:r>
          </w:p>
        </w:tc>
        <w:tc>
          <w:tcPr>
            <w:tcW w:w="2381" w:type="dxa"/>
          </w:tcPr>
          <w:p w14:paraId="5020609B" w14:textId="77777777" w:rsidR="00810E9F" w:rsidRDefault="00000000">
            <w:r>
              <w:rPr>
                <w:sz w:val="14"/>
              </w:rPr>
              <w:t>Uzasadnienie ZPI, s. 2-3: wzrost efektywności ekonomicznej, nowe miejsca pracy, poprawa komunikacji, służenie lokalnej społeczności; część o walorach ekonomicznych przestrzeni.</w:t>
            </w:r>
          </w:p>
        </w:tc>
        <w:tc>
          <w:tcPr>
            <w:tcW w:w="2268" w:type="dxa"/>
          </w:tcPr>
          <w:p w14:paraId="0526FDAB" w14:textId="77777777" w:rsidR="00810E9F" w:rsidRDefault="00000000">
            <w:r>
              <w:rPr>
                <w:sz w:val="14"/>
              </w:rPr>
              <w:t>Zarzut dotyczący wartości nieruchomości wymaga odrębnego dowodu ekonomicznego. Samo wskazanie obawy nie przesądza o rzeczywistym spadku wartości.</w:t>
            </w:r>
          </w:p>
        </w:tc>
      </w:tr>
    </w:tbl>
    <w:p w14:paraId="3EF2D4D3" w14:textId="77777777" w:rsidR="00810E9F" w:rsidRDefault="00000000">
      <w:pPr>
        <w:pBdr>
          <w:bottom w:val="single" w:sz="10" w:space="4" w:color="2FB56A"/>
        </w:pBdr>
        <w:spacing w:before="200" w:after="120" w:line="240" w:lineRule="auto"/>
      </w:pPr>
      <w:r>
        <w:rPr>
          <w:b/>
          <w:color w:val="162D53"/>
          <w:sz w:val="36"/>
        </w:rPr>
        <w:t>5. Analiza szczegółowa zarzutów</w:t>
      </w:r>
    </w:p>
    <w:p w14:paraId="04DB7A19" w14:textId="77777777" w:rsidR="00810E9F" w:rsidRDefault="00000000">
      <w:pPr>
        <w:pBdr>
          <w:bottom w:val="single" w:sz="6" w:space="4" w:color="00A4E0"/>
        </w:pBdr>
        <w:spacing w:before="200" w:after="120" w:line="240" w:lineRule="auto"/>
      </w:pPr>
      <w:r>
        <w:rPr>
          <w:b/>
          <w:color w:val="162D53"/>
          <w:sz w:val="26"/>
        </w:rPr>
        <w:t>5.1. Skala inwestycji i zakres przedsięwzięcia</w:t>
      </w:r>
    </w:p>
    <w:p w14:paraId="72E7C395" w14:textId="77777777" w:rsidR="00810E9F" w:rsidRDefault="00000000">
      <w:pPr>
        <w:spacing w:after="120" w:line="240" w:lineRule="auto"/>
      </w:pPr>
      <w:r>
        <w:t>Uchwała posługuje się określeniem „wielka biometanownia”, które ma charakter ocenny. Dokumentacja środowiskowa opisuje jednak inwestycję parametrami technicznymi. Raport OOŚ wskazuje, że przedsięwzięcie polega na wybudowaniu dwóch instalacji do produkcji biometanu na działce nr 338/20 w Przysiersku. W pierwszym etapie zakłada się instalację do 800 Nm3/h oraz 2 MWe, a w drugim etapie rozbudowę o 300 Nm3/h i 0,999 MWe. Raport wskazuje także maksymalną roczną ilość substratów ok. 360 000 Mg/rok oraz przewidywaną produkcję biometanu ok. 10 900 000 Nm3/rok.</w:t>
      </w:r>
    </w:p>
    <w:tbl>
      <w:tblPr>
        <w:tblW w:w="0" w:type="auto"/>
        <w:jc w:val="center"/>
        <w:tblLook w:val="04A0" w:firstRow="1" w:lastRow="0" w:firstColumn="1" w:lastColumn="0" w:noHBand="0" w:noVBand="1"/>
      </w:tblPr>
      <w:tblGrid>
        <w:gridCol w:w="10200"/>
      </w:tblGrid>
      <w:tr w:rsidR="00810E9F" w14:paraId="314397A1" w14:textId="77777777">
        <w:trPr>
          <w:jc w:val="center"/>
        </w:trPr>
        <w:tc>
          <w:tcPr>
            <w:tcW w:w="10200" w:type="dxa"/>
            <w:shd w:val="clear" w:color="auto" w:fill="F6FAFB"/>
          </w:tcPr>
          <w:p w14:paraId="4047154D" w14:textId="77777777" w:rsidR="00810E9F" w:rsidRDefault="00000000">
            <w:r>
              <w:rPr>
                <w:b/>
                <w:color w:val="162D53"/>
                <w:sz w:val="20"/>
              </w:rPr>
              <w:t>Wniosek cząstkowy</w:t>
            </w:r>
          </w:p>
          <w:p w14:paraId="020913A7" w14:textId="77777777" w:rsidR="00810E9F" w:rsidRDefault="00000000">
            <w:pPr>
              <w:spacing w:after="80"/>
            </w:pPr>
            <w:r>
              <w:rPr>
                <w:sz w:val="18"/>
              </w:rPr>
              <w:t>Znaczenie: skala projektu jest jawna, mierzalna i objęta oceną środowiskową. Nie jest to informacja ukryta ani nieokreślona.</w:t>
            </w:r>
          </w:p>
        </w:tc>
      </w:tr>
    </w:tbl>
    <w:p w14:paraId="091CCA8B" w14:textId="77777777" w:rsidR="00810E9F" w:rsidRDefault="00000000">
      <w:pPr>
        <w:pBdr>
          <w:bottom w:val="single" w:sz="6" w:space="4" w:color="00A4E0"/>
        </w:pBdr>
        <w:spacing w:before="200" w:after="120" w:line="240" w:lineRule="auto"/>
      </w:pPr>
      <w:r>
        <w:rPr>
          <w:b/>
          <w:color w:val="162D53"/>
          <w:sz w:val="26"/>
        </w:rPr>
        <w:t>5.2. Zgodność z procedurą planistyczną i rola ZPI</w:t>
      </w:r>
    </w:p>
    <w:p w14:paraId="3092F2D1" w14:textId="77777777" w:rsidR="00810E9F" w:rsidRDefault="00000000">
      <w:pPr>
        <w:spacing w:after="120" w:line="240" w:lineRule="auto"/>
      </w:pPr>
      <w:r>
        <w:t xml:space="preserve">Uzasadnienie ZPI wyjaśnia, że zintegrowany plan inwestycyjny jest szczególną formą planu miejscowego, wprowadzoną do systemu planowania przestrzennego. Dokument wskazuje, że inwestycją główną jest realizacja produkcji energii z </w:t>
      </w:r>
      <w:r>
        <w:lastRenderedPageBreak/>
        <w:t>OZE, a inwestycją uzupełniającą budowa drogi dojazdowej. Wskazuje też, że do czasu uchwalenia planu ogólnego, w określonym zakresie dotyczącym OZE, rada gminy może uchwalać miejscowe plany i ZPI niezależnie od ustaleń studium.</w:t>
      </w:r>
    </w:p>
    <w:tbl>
      <w:tblPr>
        <w:tblW w:w="0" w:type="auto"/>
        <w:jc w:val="center"/>
        <w:tblLook w:val="04A0" w:firstRow="1" w:lastRow="0" w:firstColumn="1" w:lastColumn="0" w:noHBand="0" w:noVBand="1"/>
      </w:tblPr>
      <w:tblGrid>
        <w:gridCol w:w="10200"/>
      </w:tblGrid>
      <w:tr w:rsidR="00810E9F" w14:paraId="193E4D64" w14:textId="77777777">
        <w:trPr>
          <w:jc w:val="center"/>
        </w:trPr>
        <w:tc>
          <w:tcPr>
            <w:tcW w:w="10200" w:type="dxa"/>
            <w:shd w:val="clear" w:color="auto" w:fill="F6FAFB"/>
          </w:tcPr>
          <w:p w14:paraId="1079F7DF" w14:textId="77777777" w:rsidR="00810E9F" w:rsidRDefault="00000000">
            <w:r>
              <w:rPr>
                <w:b/>
                <w:color w:val="162D53"/>
                <w:sz w:val="20"/>
              </w:rPr>
              <w:t>Wniosek cząstkowy</w:t>
            </w:r>
          </w:p>
          <w:p w14:paraId="3226E57A" w14:textId="77777777" w:rsidR="00810E9F" w:rsidRDefault="00000000">
            <w:pPr>
              <w:spacing w:after="80"/>
            </w:pPr>
            <w:r>
              <w:rPr>
                <w:sz w:val="18"/>
              </w:rPr>
              <w:t>Znaczenie: procedowanie ZPI nie jest obejściem planowania przestrzennego. Jest trybem ustawowym, który z założenia łączy inwestycję główną z inwestycją uzupełniającą służącą lokalnej społeczności.</w:t>
            </w:r>
          </w:p>
        </w:tc>
      </w:tr>
    </w:tbl>
    <w:p w14:paraId="062BC787" w14:textId="77777777" w:rsidR="00810E9F" w:rsidRDefault="00000000">
      <w:pPr>
        <w:pBdr>
          <w:bottom w:val="single" w:sz="6" w:space="4" w:color="00A4E0"/>
        </w:pBdr>
        <w:spacing w:before="200" w:after="120" w:line="240" w:lineRule="auto"/>
      </w:pPr>
      <w:r>
        <w:rPr>
          <w:b/>
          <w:color w:val="162D53"/>
          <w:sz w:val="26"/>
        </w:rPr>
        <w:t>5.3. Transport i bezpieczeństwo ruchu</w:t>
      </w:r>
    </w:p>
    <w:p w14:paraId="5892437C" w14:textId="77777777" w:rsidR="00810E9F" w:rsidRDefault="00000000">
      <w:pPr>
        <w:spacing w:after="120" w:line="240" w:lineRule="auto"/>
      </w:pPr>
      <w:r>
        <w:t>Analiza komunikacyjna została wykonana specjalnie dla potrzeb ZPI. Jej celem była ocena możliwości zaprojektowania i wykonania odcinka drogi publicznej od najbliższej drogi powiatowej do działki inwestycyjnej oraz wpływu tej inwestycji na warunki lokalne. Opracowanie przewiduje budowę skrzyżowania z drogą powiatową nr 1280C, odcinka drogi gminnej o długości około 1450 m, włączenia do istniejącej drogi gminnej oraz zatoki postojowej dla ciężarówek oczekujących na wjazd na teren zakładu.</w:t>
      </w:r>
    </w:p>
    <w:tbl>
      <w:tblPr>
        <w:tblW w:w="0" w:type="auto"/>
        <w:jc w:val="center"/>
        <w:tblLook w:val="04A0" w:firstRow="1" w:lastRow="0" w:firstColumn="1" w:lastColumn="0" w:noHBand="0" w:noVBand="1"/>
      </w:tblPr>
      <w:tblGrid>
        <w:gridCol w:w="10200"/>
      </w:tblGrid>
      <w:tr w:rsidR="00810E9F" w14:paraId="293CEE51" w14:textId="77777777">
        <w:trPr>
          <w:jc w:val="center"/>
        </w:trPr>
        <w:tc>
          <w:tcPr>
            <w:tcW w:w="10200" w:type="dxa"/>
            <w:shd w:val="clear" w:color="auto" w:fill="F6FAFB"/>
          </w:tcPr>
          <w:p w14:paraId="7E33C3C9" w14:textId="77777777" w:rsidR="00810E9F" w:rsidRDefault="00000000">
            <w:r>
              <w:rPr>
                <w:b/>
                <w:color w:val="162D53"/>
                <w:sz w:val="20"/>
              </w:rPr>
              <w:t>Wniosek cząstkowy</w:t>
            </w:r>
          </w:p>
          <w:p w14:paraId="22EAEAC3" w14:textId="77777777" w:rsidR="00810E9F" w:rsidRDefault="00000000">
            <w:pPr>
              <w:spacing w:after="80"/>
            </w:pPr>
            <w:r>
              <w:rPr>
                <w:sz w:val="18"/>
              </w:rPr>
              <w:t>Znaczenie: dokumentacja nie zakłada pozostawienia obsługi transportowej przypadkowi. Przeciwnie, wskazuje konkretny układ drogowy, parametry techniczne i rozwiązania bezpieczeństwa.</w:t>
            </w:r>
          </w:p>
        </w:tc>
      </w:tr>
    </w:tbl>
    <w:p w14:paraId="218F6B1A" w14:textId="77777777" w:rsidR="00810E9F" w:rsidRDefault="00000000">
      <w:pPr>
        <w:pBdr>
          <w:bottom w:val="single" w:sz="6" w:space="4" w:color="00A4E0"/>
        </w:pBdr>
        <w:spacing w:before="200" w:after="120" w:line="240" w:lineRule="auto"/>
      </w:pPr>
      <w:r>
        <w:rPr>
          <w:b/>
          <w:color w:val="162D53"/>
          <w:sz w:val="26"/>
        </w:rPr>
        <w:t>5.4. Odory</w:t>
      </w:r>
    </w:p>
    <w:p w14:paraId="160C7779" w14:textId="77777777" w:rsidR="00810E9F" w:rsidRDefault="00000000">
      <w:pPr>
        <w:spacing w:after="120" w:line="240" w:lineRule="auto"/>
      </w:pPr>
      <w:r>
        <w:t>Uchwała wskazuje na uciążliwości zapachowe jako jedno z głównych zagrożeń. Raport OOŚ zawiera jednak odrębne części dotyczące emisji odorów oraz zapobiegania ich rozprzestrzenianiu. Dokumentacja odwołuje się także do Kodeksu przeciwdziałania uciążliwości zapachowej. Oznacza to, że kwestia odorów została rozpoznana jako istotne zagadnienie środowiskowe i nie jest pomijana przez inwestora.</w:t>
      </w:r>
    </w:p>
    <w:tbl>
      <w:tblPr>
        <w:tblW w:w="0" w:type="auto"/>
        <w:jc w:val="center"/>
        <w:tblLook w:val="04A0" w:firstRow="1" w:lastRow="0" w:firstColumn="1" w:lastColumn="0" w:noHBand="0" w:noVBand="1"/>
      </w:tblPr>
      <w:tblGrid>
        <w:gridCol w:w="10200"/>
      </w:tblGrid>
      <w:tr w:rsidR="00810E9F" w14:paraId="55D61211" w14:textId="77777777">
        <w:trPr>
          <w:jc w:val="center"/>
        </w:trPr>
        <w:tc>
          <w:tcPr>
            <w:tcW w:w="10200" w:type="dxa"/>
            <w:shd w:val="clear" w:color="auto" w:fill="F6FAFB"/>
          </w:tcPr>
          <w:p w14:paraId="77502B2E" w14:textId="77777777" w:rsidR="00810E9F" w:rsidRDefault="00000000">
            <w:r>
              <w:rPr>
                <w:b/>
                <w:color w:val="162D53"/>
                <w:sz w:val="20"/>
              </w:rPr>
              <w:t>Wniosek cząstkowy</w:t>
            </w:r>
          </w:p>
          <w:p w14:paraId="599575D3" w14:textId="77777777" w:rsidR="00810E9F" w:rsidRDefault="00000000">
            <w:pPr>
              <w:spacing w:after="80"/>
            </w:pPr>
            <w:r>
              <w:rPr>
                <w:sz w:val="18"/>
              </w:rPr>
              <w:t>Znaczenie: odory należy oceniać na podstawie rozwiązań technicznych, technologicznych i organizacyjnych oraz warunków decyzji środowiskowej, nie zaś wyłącznie na podstawie ogólnych obaw.</w:t>
            </w:r>
          </w:p>
        </w:tc>
      </w:tr>
    </w:tbl>
    <w:p w14:paraId="107FFE08" w14:textId="77777777" w:rsidR="00810E9F" w:rsidRDefault="00000000">
      <w:pPr>
        <w:pBdr>
          <w:bottom w:val="single" w:sz="6" w:space="4" w:color="00A4E0"/>
        </w:pBdr>
        <w:spacing w:before="200" w:after="120" w:line="240" w:lineRule="auto"/>
      </w:pPr>
      <w:r>
        <w:rPr>
          <w:b/>
          <w:color w:val="162D53"/>
          <w:sz w:val="26"/>
        </w:rPr>
        <w:t>5.5. Powietrze, hałas i zdrowie ludzi</w:t>
      </w:r>
    </w:p>
    <w:p w14:paraId="194122F2" w14:textId="77777777" w:rsidR="00810E9F" w:rsidRDefault="00000000">
      <w:pPr>
        <w:spacing w:after="120" w:line="240" w:lineRule="auto"/>
      </w:pPr>
      <w:r>
        <w:t>Raport OOŚ zawiera obliczenia emisji zanieczyszczeń do powietrza, analizę hałasu, wyniki obliczeń w punktach obserwacji, ocenę oddziaływania na ludzi oraz działania ograniczające wpływ inwestycji. Raport wskazuje wartości odniesienia dla substancji takich jak amoniak, tlenki azotu, dwutlenek siarki, pyły PM10 i PM2,5 oraz siarkowodór. Oddziaływanie na ludzi jest odrębnym przedmiotem analizy.</w:t>
      </w:r>
    </w:p>
    <w:tbl>
      <w:tblPr>
        <w:tblW w:w="0" w:type="auto"/>
        <w:jc w:val="center"/>
        <w:tblLook w:val="04A0" w:firstRow="1" w:lastRow="0" w:firstColumn="1" w:lastColumn="0" w:noHBand="0" w:noVBand="1"/>
      </w:tblPr>
      <w:tblGrid>
        <w:gridCol w:w="10200"/>
      </w:tblGrid>
      <w:tr w:rsidR="00810E9F" w14:paraId="4C56300A" w14:textId="77777777">
        <w:trPr>
          <w:jc w:val="center"/>
        </w:trPr>
        <w:tc>
          <w:tcPr>
            <w:tcW w:w="10200" w:type="dxa"/>
            <w:shd w:val="clear" w:color="auto" w:fill="F6FAFB"/>
          </w:tcPr>
          <w:p w14:paraId="72E64D91" w14:textId="77777777" w:rsidR="00810E9F" w:rsidRDefault="00000000">
            <w:r>
              <w:rPr>
                <w:b/>
                <w:color w:val="162D53"/>
                <w:sz w:val="20"/>
              </w:rPr>
              <w:t>Wniosek cząstkowy</w:t>
            </w:r>
          </w:p>
          <w:p w14:paraId="083AA199" w14:textId="77777777" w:rsidR="00810E9F" w:rsidRDefault="00000000">
            <w:pPr>
              <w:spacing w:after="80"/>
            </w:pPr>
            <w:r>
              <w:rPr>
                <w:sz w:val="18"/>
              </w:rPr>
              <w:t>Znaczenie: zarzut pogorszenia zdrowia i komfortu życia powinien być weryfikowany przez pryzmat konkretnych obliczeń i standardów jakości środowiska.</w:t>
            </w:r>
          </w:p>
        </w:tc>
      </w:tr>
    </w:tbl>
    <w:p w14:paraId="217DD816" w14:textId="77777777" w:rsidR="00810E9F" w:rsidRDefault="00000000">
      <w:pPr>
        <w:pBdr>
          <w:bottom w:val="single" w:sz="6" w:space="4" w:color="00A4E0"/>
        </w:pBdr>
        <w:spacing w:before="200" w:after="120" w:line="240" w:lineRule="auto"/>
      </w:pPr>
      <w:r>
        <w:rPr>
          <w:b/>
          <w:color w:val="162D53"/>
          <w:sz w:val="26"/>
        </w:rPr>
        <w:t>5.6. Przyroda, krajobraz i walory turystyczne</w:t>
      </w:r>
    </w:p>
    <w:p w14:paraId="73D77F68" w14:textId="77777777" w:rsidR="00810E9F" w:rsidRDefault="00000000">
      <w:pPr>
        <w:spacing w:after="120" w:line="240" w:lineRule="auto"/>
      </w:pPr>
      <w:r>
        <w:t>Uzasadnienie ZPI wskazuje, że na obszarze inwestycji głównej nie występują formy ochrony przyrody, w tym Natura 2000, rezerwaty, parki krajobrazowe, parki narodowe czy obszary chronionego krajobrazu. Wskazano również, że audyt krajobrazowy województwa nie wyznaczył w analizowanym terenie krajobrazów priorytetowych. Raport OOŚ obejmuje odrębne analizy krajobrazu, przyrody i korytarzy ekologicznych.</w:t>
      </w:r>
    </w:p>
    <w:tbl>
      <w:tblPr>
        <w:tblW w:w="0" w:type="auto"/>
        <w:jc w:val="center"/>
        <w:tblLook w:val="04A0" w:firstRow="1" w:lastRow="0" w:firstColumn="1" w:lastColumn="0" w:noHBand="0" w:noVBand="1"/>
      </w:tblPr>
      <w:tblGrid>
        <w:gridCol w:w="10200"/>
      </w:tblGrid>
      <w:tr w:rsidR="00810E9F" w14:paraId="6439866F" w14:textId="77777777">
        <w:trPr>
          <w:jc w:val="center"/>
        </w:trPr>
        <w:tc>
          <w:tcPr>
            <w:tcW w:w="10200" w:type="dxa"/>
            <w:shd w:val="clear" w:color="auto" w:fill="F6FAFB"/>
          </w:tcPr>
          <w:p w14:paraId="2D3FBA8F" w14:textId="77777777" w:rsidR="00810E9F" w:rsidRDefault="00000000">
            <w:r>
              <w:rPr>
                <w:b/>
                <w:color w:val="162D53"/>
                <w:sz w:val="20"/>
              </w:rPr>
              <w:t>Wniosek cząstkowy</w:t>
            </w:r>
          </w:p>
          <w:p w14:paraId="00E4CA82" w14:textId="77777777" w:rsidR="00810E9F" w:rsidRDefault="00000000">
            <w:pPr>
              <w:spacing w:after="80"/>
            </w:pPr>
            <w:r>
              <w:rPr>
                <w:sz w:val="18"/>
              </w:rPr>
              <w:t>Znaczenie: twierdzenie o negatywnym wpływie na walory przyrodnicze i krajobrazowe wymaga odniesienia do ustaleń audytu krajobrazowego, form ochrony przyrody i raportu OOŚ.</w:t>
            </w:r>
          </w:p>
        </w:tc>
      </w:tr>
    </w:tbl>
    <w:p w14:paraId="0DE74CC9" w14:textId="77777777" w:rsidR="00810E9F" w:rsidRDefault="00000000">
      <w:pPr>
        <w:pBdr>
          <w:bottom w:val="single" w:sz="6" w:space="4" w:color="00A4E0"/>
        </w:pBdr>
        <w:spacing w:before="200" w:after="120" w:line="240" w:lineRule="auto"/>
      </w:pPr>
      <w:r>
        <w:rPr>
          <w:b/>
          <w:color w:val="162D53"/>
          <w:sz w:val="26"/>
        </w:rPr>
        <w:t>5.7. Korzyści publiczne i gospodarcze pominięte w uchwale</w:t>
      </w:r>
    </w:p>
    <w:p w14:paraId="7D796EA4" w14:textId="77777777" w:rsidR="00810E9F" w:rsidRDefault="00000000">
      <w:pPr>
        <w:spacing w:after="120" w:line="240" w:lineRule="auto"/>
      </w:pPr>
      <w:r>
        <w:lastRenderedPageBreak/>
        <w:t>Uzasadnienie ZPI wskazuje, że celem projektu jest zainwestowanie i ożywienie terenu, zwiększenie świadomości społecznej w zakresie pozyskiwania energii i ochrony środowiska, nowe miejsca pracy, poprawa komunikacyjna oraz zwiększenie atrakcyjności inwestycyjnej. W dokumencie wskazano też, że inwestycja uzupełniająca będzie służyła nie tylko obsłudze inwestycji głównej, ale również lokalnej społeczności.</w:t>
      </w:r>
    </w:p>
    <w:tbl>
      <w:tblPr>
        <w:tblW w:w="0" w:type="auto"/>
        <w:jc w:val="center"/>
        <w:tblLook w:val="04A0" w:firstRow="1" w:lastRow="0" w:firstColumn="1" w:lastColumn="0" w:noHBand="0" w:noVBand="1"/>
      </w:tblPr>
      <w:tblGrid>
        <w:gridCol w:w="10200"/>
      </w:tblGrid>
      <w:tr w:rsidR="00810E9F" w14:paraId="35253C7D" w14:textId="77777777">
        <w:trPr>
          <w:jc w:val="center"/>
        </w:trPr>
        <w:tc>
          <w:tcPr>
            <w:tcW w:w="10200" w:type="dxa"/>
            <w:shd w:val="clear" w:color="auto" w:fill="F6FAFB"/>
          </w:tcPr>
          <w:p w14:paraId="36968F8D" w14:textId="77777777" w:rsidR="00810E9F" w:rsidRDefault="00000000">
            <w:r>
              <w:rPr>
                <w:b/>
                <w:color w:val="162D53"/>
                <w:sz w:val="20"/>
              </w:rPr>
              <w:t>Wniosek cząstkowy</w:t>
            </w:r>
          </w:p>
          <w:p w14:paraId="490DE55F" w14:textId="77777777" w:rsidR="00810E9F" w:rsidRDefault="00000000">
            <w:pPr>
              <w:spacing w:after="80"/>
            </w:pPr>
            <w:r>
              <w:rPr>
                <w:sz w:val="18"/>
              </w:rPr>
              <w:t>Znaczenie: pełna ocena inwestycji powinna obejmować zarówno ryzyka, jak i korzyści. Uchwała eksponuje ryzyka, ale nie przedstawia zbilansowanej analizy korzyści wynikających z dokumentacji.</w:t>
            </w:r>
          </w:p>
        </w:tc>
      </w:tr>
    </w:tbl>
    <w:p w14:paraId="708E4C1E" w14:textId="77777777" w:rsidR="00810E9F" w:rsidRDefault="00000000">
      <w:pPr>
        <w:pBdr>
          <w:bottom w:val="single" w:sz="10" w:space="4" w:color="2FB56A"/>
        </w:pBdr>
        <w:spacing w:before="200" w:after="120" w:line="240" w:lineRule="auto"/>
      </w:pPr>
      <w:r>
        <w:rPr>
          <w:b/>
          <w:color w:val="162D53"/>
          <w:sz w:val="36"/>
        </w:rPr>
        <w:t>6. Proponowane stanowisko wobec Radnych</w:t>
      </w:r>
    </w:p>
    <w:p w14:paraId="1E0B0A65" w14:textId="77777777" w:rsidR="00810E9F" w:rsidRDefault="00000000">
      <w:pPr>
        <w:spacing w:after="120" w:line="240" w:lineRule="auto"/>
      </w:pPr>
      <w:r>
        <w:t>Szanowni Państwo Radni, Green-en Sp. z o.o. przyjmuje z pełnym szacunkiem fakt, że Rada Gminy Bukowiec wyraziła obawy dotyczące planowanej inwestycji. Rozumiemy, że projekt tej skali może budzić pytania. Jednocześnie zwracamy uwagę, że uchwała Nr XX/141/26 została oparta przede wszystkim na obawach i ocenach, podczas gdy istnieje już obszerna dokumentacja techniczna, środowiskowa i komunikacyjna, której ustalenia powinny stanowić podstawę dalszej debaty.</w:t>
      </w:r>
    </w:p>
    <w:p w14:paraId="289A82F5" w14:textId="77777777" w:rsidR="00810E9F" w:rsidRDefault="00000000">
      <w:pPr>
        <w:spacing w:after="120" w:line="240" w:lineRule="auto"/>
      </w:pPr>
      <w:r>
        <w:t>Nie oczekujemy od Rady ani mieszkańców bezkrytycznej akceptacji inwestycji. Oczekujemy natomiast, aby dyskusja publiczna była prowadzona w oparciu o pełny materiał dowodowy. Zgodnie z zasadami postępowania administracyjnego, kwestie wpływu na środowisko, transportu, hałasu, emisji, gospodarki wodnej i bezpieczeństwa technologicznego powinny zostać ocenione przez właściwe organy, w szczególności w ramach procedury OOŚ i procedury planistycznej.</w:t>
      </w:r>
    </w:p>
    <w:p w14:paraId="4A9EC8AB" w14:textId="77777777" w:rsidR="00810E9F" w:rsidRDefault="00000000">
      <w:pPr>
        <w:spacing w:after="120" w:line="240" w:lineRule="auto"/>
      </w:pPr>
      <w:r>
        <w:t>Green-en deklaruje gotowość do przedstawienia dokumentacji, udziału ekspertów w spotkaniach informacyjnych, odpowiedzi na pytania mieszkańców oraz omówienia rozwiązań technicznych ograniczających potencjalne oddziaływania.</w:t>
      </w:r>
    </w:p>
    <w:p w14:paraId="488535E4" w14:textId="77777777" w:rsidR="00810E9F" w:rsidRDefault="00000000">
      <w:pPr>
        <w:pBdr>
          <w:bottom w:val="single" w:sz="10" w:space="4" w:color="2FB56A"/>
        </w:pBdr>
        <w:spacing w:before="200" w:after="120" w:line="240" w:lineRule="auto"/>
      </w:pPr>
      <w:r>
        <w:rPr>
          <w:b/>
          <w:color w:val="162D53"/>
          <w:sz w:val="36"/>
        </w:rPr>
        <w:t>7. Wnioski końcowe</w:t>
      </w:r>
    </w:p>
    <w:p w14:paraId="397149A4" w14:textId="77777777" w:rsidR="00810E9F" w:rsidRDefault="00000000">
      <w:pPr>
        <w:pStyle w:val="Listapunktowana"/>
        <w:spacing w:after="40" w:line="240" w:lineRule="auto"/>
      </w:pPr>
      <w:r>
        <w:t>Uchwała Nr XX/141/26 ma charakter stanowiska polityczno-społecznego i nie zastępuje ustawowych procedur administracyjnych.</w:t>
      </w:r>
    </w:p>
    <w:p w14:paraId="4A22DBF0" w14:textId="77777777" w:rsidR="00810E9F" w:rsidRDefault="00000000">
      <w:pPr>
        <w:pStyle w:val="Listapunktowana"/>
        <w:spacing w:after="40" w:line="240" w:lineRule="auto"/>
      </w:pPr>
      <w:r>
        <w:t>Każdy z głównych zarzutów uchwały jest objęty analizą w dokumentacji projektowej: OOŚ, ZPI lub analizie komunikacyjnej.</w:t>
      </w:r>
    </w:p>
    <w:p w14:paraId="365C6B57" w14:textId="77777777" w:rsidR="00810E9F" w:rsidRDefault="00000000">
      <w:pPr>
        <w:pStyle w:val="Listapunktowana"/>
        <w:spacing w:after="40" w:line="240" w:lineRule="auto"/>
      </w:pPr>
      <w:r>
        <w:t>Dokumentacja wskazuje również korzyści dla gminy, których uchwała nie analizuje: drogę, miejsca pracy, wzrost atrakcyjności inwestycyjnej, efektywność ekonomiczną i rozwój OZE.</w:t>
      </w:r>
    </w:p>
    <w:p w14:paraId="128ECAB1" w14:textId="77777777" w:rsidR="00810E9F" w:rsidRDefault="00000000">
      <w:pPr>
        <w:pStyle w:val="Listapunktowana"/>
        <w:spacing w:after="40" w:line="240" w:lineRule="auto"/>
      </w:pPr>
      <w:r>
        <w:t>Zasadne jest kontynuowanie procedur i dialogu społecznego, aby decyzje dotyczące przyszłości gminy były podejmowane na podstawie faktów, nie wyłącznie obaw.</w:t>
      </w:r>
    </w:p>
    <w:p w14:paraId="0B0292DD" w14:textId="77777777" w:rsidR="00810E9F" w:rsidRDefault="00000000">
      <w:pPr>
        <w:pStyle w:val="Listapunktowana"/>
        <w:spacing w:after="40" w:line="240" w:lineRule="auto"/>
      </w:pPr>
      <w:r>
        <w:t>Green-en deklaruje transparentność i gotowość do dalszej współpracy z Radą Gminy, Wójtem, mieszkańcami i organami administracji.</w:t>
      </w:r>
    </w:p>
    <w:p w14:paraId="7CC8E25A" w14:textId="77777777" w:rsidR="00810E9F" w:rsidRDefault="00000000">
      <w:pPr>
        <w:pBdr>
          <w:bottom w:val="single" w:sz="10" w:space="4" w:color="2FB56A"/>
        </w:pBdr>
        <w:spacing w:before="200" w:after="120" w:line="240" w:lineRule="auto"/>
      </w:pPr>
      <w:r>
        <w:rPr>
          <w:b/>
          <w:color w:val="162D53"/>
          <w:sz w:val="36"/>
        </w:rPr>
        <w:t>8. Wykaz przywołanych dokumentów</w:t>
      </w:r>
    </w:p>
    <w:p w14:paraId="41A08E22" w14:textId="77777777" w:rsidR="00810E9F" w:rsidRDefault="00000000">
      <w:pPr>
        <w:spacing w:after="60" w:line="240" w:lineRule="auto"/>
      </w:pPr>
      <w:r>
        <w:rPr>
          <w:b/>
        </w:rPr>
        <w:t xml:space="preserve">1. Uchwała Nr XX/141/26 Rady Gminy Bukowiec z dnia 12 czerwca 2026 r.. </w:t>
      </w:r>
      <w:r>
        <w:t>dokument zawierający sprzeciw wobec planowanej budowy biometanowni oraz wskazanie głównych obaw: odory, transport, środowisko, jakość życia, walory rolnicze i turystyczne.</w:t>
      </w:r>
    </w:p>
    <w:p w14:paraId="47797682" w14:textId="77777777" w:rsidR="00810E9F" w:rsidRDefault="00000000">
      <w:pPr>
        <w:spacing w:after="60" w:line="240" w:lineRule="auto"/>
      </w:pPr>
      <w:r>
        <w:rPr>
          <w:b/>
        </w:rPr>
        <w:t xml:space="preserve">2. Raport o oddziaływaniu przedsięwzięcia na środowisko, Energoprojekt Warszawa S.A., czerwiec 2026 r.. </w:t>
      </w:r>
      <w:r>
        <w:t>raport OOŚ dla Zakładu produkcji paliw organicznych, w tym biometanu, na działce nr 338/20 w Przysiersku; obejmuje m.in. analizę powietrza, hałasu, wód, przyrody, krajobrazu, odorów, klimatu, awarii, BAT i monitoringu.</w:t>
      </w:r>
    </w:p>
    <w:p w14:paraId="19C42FFF" w14:textId="77777777" w:rsidR="00810E9F" w:rsidRDefault="00000000">
      <w:pPr>
        <w:spacing w:after="60" w:line="240" w:lineRule="auto"/>
      </w:pPr>
      <w:r>
        <w:rPr>
          <w:b/>
        </w:rPr>
        <w:t xml:space="preserve">3. Uzasadnienie projektu Zintegrowanego Planu Inwestycyjnego obszaru w obrębie Przysiersk, gmina Bukowiec.. </w:t>
      </w:r>
      <w:r>
        <w:t>dokument opisujący podstawy prawne ZPI, inwestycję główną, inwestycję uzupełniającą w postaci drogi, uwarunkowania planistyczne oraz cele publiczne i gospodarcze projektu.</w:t>
      </w:r>
    </w:p>
    <w:p w14:paraId="16720A27" w14:textId="77777777" w:rsidR="00810E9F" w:rsidRDefault="00000000">
      <w:pPr>
        <w:spacing w:after="60" w:line="240" w:lineRule="auto"/>
      </w:pPr>
      <w:r>
        <w:rPr>
          <w:b/>
        </w:rPr>
        <w:t xml:space="preserve">4. Analiza rozwiązania komunikacyjnego do ZPI, TERION Projekty Drogowe, marzec 2026 r.. </w:t>
      </w:r>
      <w:r>
        <w:t>opracowanie oceniające możliwość wykonania drogi publicznej, obsługi transportowej inwestycji i wpływu projektowanego układu drogowego na warunki lokalne.</w:t>
      </w:r>
    </w:p>
    <w:p w14:paraId="2FFC3CB5" w14:textId="77777777" w:rsidR="00810E9F" w:rsidRDefault="00000000">
      <w:pPr>
        <w:pBdr>
          <w:bottom w:val="single" w:sz="10" w:space="4" w:color="2FB56A"/>
        </w:pBdr>
        <w:spacing w:before="200" w:after="120" w:line="240" w:lineRule="auto"/>
      </w:pPr>
      <w:r>
        <w:rPr>
          <w:b/>
          <w:color w:val="162D53"/>
          <w:sz w:val="36"/>
        </w:rPr>
        <w:t>9. Matryca dowodowa: kluczowe cytaty i odniesienia</w:t>
      </w:r>
    </w:p>
    <w:tbl>
      <w:tblPr>
        <w:tblStyle w:val="Tabela-Siatka"/>
        <w:tblW w:w="0" w:type="auto"/>
        <w:tblLook w:val="04A0" w:firstRow="1" w:lastRow="0" w:firstColumn="1" w:lastColumn="0" w:noHBand="0" w:noVBand="1"/>
      </w:tblPr>
      <w:tblGrid>
        <w:gridCol w:w="3396"/>
        <w:gridCol w:w="3397"/>
        <w:gridCol w:w="3397"/>
      </w:tblGrid>
      <w:tr w:rsidR="00810E9F" w14:paraId="7701CE50" w14:textId="77777777">
        <w:tc>
          <w:tcPr>
            <w:tcW w:w="3400" w:type="dxa"/>
            <w:shd w:val="clear" w:color="auto" w:fill="162D53"/>
          </w:tcPr>
          <w:p w14:paraId="7AB1AA9E" w14:textId="77777777" w:rsidR="00810E9F" w:rsidRDefault="00000000">
            <w:r>
              <w:rPr>
                <w:b/>
                <w:color w:val="FFFFFF"/>
                <w:sz w:val="16"/>
              </w:rPr>
              <w:t>Dokument</w:t>
            </w:r>
          </w:p>
        </w:tc>
        <w:tc>
          <w:tcPr>
            <w:tcW w:w="3400" w:type="dxa"/>
            <w:shd w:val="clear" w:color="auto" w:fill="162D53"/>
          </w:tcPr>
          <w:p w14:paraId="0CEB5874" w14:textId="77777777" w:rsidR="00810E9F" w:rsidRDefault="00000000">
            <w:r>
              <w:rPr>
                <w:b/>
                <w:color w:val="FFFFFF"/>
                <w:sz w:val="16"/>
              </w:rPr>
              <w:t>Zakres ustalenia</w:t>
            </w:r>
          </w:p>
        </w:tc>
        <w:tc>
          <w:tcPr>
            <w:tcW w:w="3400" w:type="dxa"/>
            <w:shd w:val="clear" w:color="auto" w:fill="162D53"/>
          </w:tcPr>
          <w:p w14:paraId="3BAD00BB" w14:textId="77777777" w:rsidR="00810E9F" w:rsidRDefault="00000000">
            <w:r>
              <w:rPr>
                <w:b/>
                <w:color w:val="FFFFFF"/>
                <w:sz w:val="16"/>
              </w:rPr>
              <w:t>Znaczenie dla odpowiedzi na uchwałę</w:t>
            </w:r>
          </w:p>
        </w:tc>
      </w:tr>
      <w:tr w:rsidR="00810E9F" w14:paraId="5B870E42" w14:textId="77777777">
        <w:tc>
          <w:tcPr>
            <w:tcW w:w="3400" w:type="dxa"/>
          </w:tcPr>
          <w:p w14:paraId="1B54BEBD" w14:textId="77777777" w:rsidR="00810E9F" w:rsidRDefault="00000000">
            <w:r>
              <w:rPr>
                <w:sz w:val="15"/>
              </w:rPr>
              <w:t>Raport OOŚ, s. 13-14</w:t>
            </w:r>
          </w:p>
        </w:tc>
        <w:tc>
          <w:tcPr>
            <w:tcW w:w="3400" w:type="dxa"/>
          </w:tcPr>
          <w:p w14:paraId="1D260CE3" w14:textId="77777777" w:rsidR="00810E9F" w:rsidRDefault="00000000">
            <w:r>
              <w:rPr>
                <w:sz w:val="15"/>
              </w:rPr>
              <w:t xml:space="preserve">Przedsięwzięcie obejmuje dwa etapy instalacji do produkcji biometanu; wskazano </w:t>
            </w:r>
            <w:r>
              <w:rPr>
                <w:sz w:val="15"/>
              </w:rPr>
              <w:lastRenderedPageBreak/>
              <w:t>maksymalne ilości substratów, pofermentu i produkcji biometanu.</w:t>
            </w:r>
          </w:p>
        </w:tc>
        <w:tc>
          <w:tcPr>
            <w:tcW w:w="3400" w:type="dxa"/>
          </w:tcPr>
          <w:p w14:paraId="57C92B18" w14:textId="77777777" w:rsidR="00810E9F" w:rsidRDefault="00000000">
            <w:r>
              <w:rPr>
                <w:sz w:val="15"/>
              </w:rPr>
              <w:lastRenderedPageBreak/>
              <w:t>Skala inwestycji jest określona liczbowo i została objęta raportem środowiskowym.</w:t>
            </w:r>
          </w:p>
        </w:tc>
      </w:tr>
      <w:tr w:rsidR="00810E9F" w14:paraId="6F652935" w14:textId="77777777">
        <w:tc>
          <w:tcPr>
            <w:tcW w:w="3400" w:type="dxa"/>
          </w:tcPr>
          <w:p w14:paraId="673AF24F" w14:textId="77777777" w:rsidR="00810E9F" w:rsidRDefault="00000000">
            <w:r>
              <w:rPr>
                <w:sz w:val="15"/>
              </w:rPr>
              <w:t>Raport OOŚ, spis treści, rozdz. 9 i 14</w:t>
            </w:r>
          </w:p>
        </w:tc>
        <w:tc>
          <w:tcPr>
            <w:tcW w:w="3400" w:type="dxa"/>
          </w:tcPr>
          <w:p w14:paraId="5B6EB5F6" w14:textId="77777777" w:rsidR="00810E9F" w:rsidRDefault="00000000">
            <w:r>
              <w:rPr>
                <w:sz w:val="15"/>
              </w:rPr>
              <w:t>Raport obejmuje emisje do powietrza, hałas, środowisko wodne, gospodarkę odpadami, krajobraz, ludzi, klimat, przyrodę, odory, monitoring i BAT.</w:t>
            </w:r>
          </w:p>
        </w:tc>
        <w:tc>
          <w:tcPr>
            <w:tcW w:w="3400" w:type="dxa"/>
          </w:tcPr>
          <w:p w14:paraId="41478279" w14:textId="77777777" w:rsidR="00810E9F" w:rsidRDefault="00000000">
            <w:r>
              <w:rPr>
                <w:sz w:val="15"/>
              </w:rPr>
              <w:t>Uchwała wskazuje ryzyka, które dokumentacja już analizuje w wyspecjalizowanych częściach raportu.</w:t>
            </w:r>
          </w:p>
        </w:tc>
      </w:tr>
      <w:tr w:rsidR="00810E9F" w14:paraId="0D19CC0A" w14:textId="77777777">
        <w:tc>
          <w:tcPr>
            <w:tcW w:w="3400" w:type="dxa"/>
          </w:tcPr>
          <w:p w14:paraId="16EABA83" w14:textId="77777777" w:rsidR="00810E9F" w:rsidRDefault="00000000">
            <w:r>
              <w:rPr>
                <w:sz w:val="15"/>
              </w:rPr>
              <w:t>Raport OOŚ, s. 115 oraz rozdz. 9.1.1</w:t>
            </w:r>
          </w:p>
        </w:tc>
        <w:tc>
          <w:tcPr>
            <w:tcW w:w="3400" w:type="dxa"/>
          </w:tcPr>
          <w:p w14:paraId="4601E890" w14:textId="77777777" w:rsidR="00810E9F" w:rsidRDefault="00000000">
            <w:r>
              <w:rPr>
                <w:sz w:val="15"/>
              </w:rPr>
              <w:t>W obliczeniach emisji odniesiono się do wartości referencyjnych dla substancji w powietrzu.</w:t>
            </w:r>
          </w:p>
        </w:tc>
        <w:tc>
          <w:tcPr>
            <w:tcW w:w="3400" w:type="dxa"/>
          </w:tcPr>
          <w:p w14:paraId="5243C643" w14:textId="77777777" w:rsidR="00810E9F" w:rsidRDefault="00000000">
            <w:r>
              <w:rPr>
                <w:sz w:val="15"/>
              </w:rPr>
              <w:t>Twierdzenia o zanieczyszczeniu powietrza powinny być weryfikowane przez wyniki obliczeń, nie przez ogólne przewidywania.</w:t>
            </w:r>
          </w:p>
        </w:tc>
      </w:tr>
      <w:tr w:rsidR="00810E9F" w14:paraId="43346BFF" w14:textId="77777777">
        <w:tc>
          <w:tcPr>
            <w:tcW w:w="3400" w:type="dxa"/>
          </w:tcPr>
          <w:p w14:paraId="31B54AFD" w14:textId="77777777" w:rsidR="00810E9F" w:rsidRDefault="00000000">
            <w:r>
              <w:rPr>
                <w:sz w:val="15"/>
              </w:rPr>
              <w:t>Raport OOŚ, rozdz. 9.1.16 i 14.5</w:t>
            </w:r>
          </w:p>
        </w:tc>
        <w:tc>
          <w:tcPr>
            <w:tcW w:w="3400" w:type="dxa"/>
          </w:tcPr>
          <w:p w14:paraId="130A9DF6" w14:textId="77777777" w:rsidR="00810E9F" w:rsidRDefault="00000000">
            <w:r>
              <w:rPr>
                <w:sz w:val="15"/>
              </w:rPr>
              <w:t>Odrębnie opisano emisję odorów oraz działania ograniczające ich rozprzestrzenianie.</w:t>
            </w:r>
          </w:p>
        </w:tc>
        <w:tc>
          <w:tcPr>
            <w:tcW w:w="3400" w:type="dxa"/>
          </w:tcPr>
          <w:p w14:paraId="195A95E0" w14:textId="77777777" w:rsidR="00810E9F" w:rsidRDefault="00000000">
            <w:r>
              <w:rPr>
                <w:sz w:val="15"/>
              </w:rPr>
              <w:t>Ryzyko odorów nie jest pominięte i powinno być ocenione w toku procedury OOŚ.</w:t>
            </w:r>
          </w:p>
        </w:tc>
      </w:tr>
      <w:tr w:rsidR="00810E9F" w14:paraId="4ADB27EF" w14:textId="77777777">
        <w:tc>
          <w:tcPr>
            <w:tcW w:w="3400" w:type="dxa"/>
          </w:tcPr>
          <w:p w14:paraId="4D1FE343" w14:textId="77777777" w:rsidR="00810E9F" w:rsidRDefault="00000000">
            <w:r>
              <w:rPr>
                <w:sz w:val="15"/>
              </w:rPr>
              <w:t>Uzasadnienie ZPI, s. 1-2</w:t>
            </w:r>
          </w:p>
        </w:tc>
        <w:tc>
          <w:tcPr>
            <w:tcW w:w="3400" w:type="dxa"/>
          </w:tcPr>
          <w:p w14:paraId="5B5E6212" w14:textId="77777777" w:rsidR="00810E9F" w:rsidRDefault="00000000">
            <w:r>
              <w:rPr>
                <w:sz w:val="15"/>
              </w:rPr>
              <w:t>ZPI obejmuje inwestycję główną OZE oraz inwestycję uzupełniającą: drogę dojazdową. Wskazano brak form ochrony przyrody i brak krajobrazów priorytetowych w analizowanym terenie.</w:t>
            </w:r>
          </w:p>
        </w:tc>
        <w:tc>
          <w:tcPr>
            <w:tcW w:w="3400" w:type="dxa"/>
          </w:tcPr>
          <w:p w14:paraId="4EE5397C" w14:textId="77777777" w:rsidR="00810E9F" w:rsidRDefault="00000000">
            <w:r>
              <w:rPr>
                <w:sz w:val="15"/>
              </w:rPr>
              <w:t>Uchwała nie zestawia obaw krajobrazowych i przyrodniczych z ustaleniami ZPI.</w:t>
            </w:r>
          </w:p>
        </w:tc>
      </w:tr>
      <w:tr w:rsidR="00810E9F" w14:paraId="047A5DF4" w14:textId="77777777">
        <w:tc>
          <w:tcPr>
            <w:tcW w:w="3400" w:type="dxa"/>
          </w:tcPr>
          <w:p w14:paraId="5497C627" w14:textId="77777777" w:rsidR="00810E9F" w:rsidRDefault="00000000">
            <w:r>
              <w:rPr>
                <w:sz w:val="15"/>
              </w:rPr>
              <w:t>Uzasadnienie ZPI, s. 2-3</w:t>
            </w:r>
          </w:p>
        </w:tc>
        <w:tc>
          <w:tcPr>
            <w:tcW w:w="3400" w:type="dxa"/>
          </w:tcPr>
          <w:p w14:paraId="5D99A733" w14:textId="77777777" w:rsidR="00810E9F" w:rsidRDefault="00000000">
            <w:r>
              <w:rPr>
                <w:sz w:val="15"/>
              </w:rPr>
              <w:t>Wskazano nowe miejsca pracy, poprawę komunikacji, podniesienie standardu życia, efektywność ekonomiczną i atrakcyjność inwestycyjną obszaru.</w:t>
            </w:r>
          </w:p>
        </w:tc>
        <w:tc>
          <w:tcPr>
            <w:tcW w:w="3400" w:type="dxa"/>
          </w:tcPr>
          <w:p w14:paraId="6AB031FB" w14:textId="77777777" w:rsidR="00810E9F" w:rsidRDefault="00000000">
            <w:r>
              <w:rPr>
                <w:sz w:val="15"/>
              </w:rPr>
              <w:t>Pełna ocena inwestycji musi obejmować także korzyści publiczne.</w:t>
            </w:r>
          </w:p>
        </w:tc>
      </w:tr>
      <w:tr w:rsidR="00810E9F" w14:paraId="02A75746" w14:textId="77777777">
        <w:tc>
          <w:tcPr>
            <w:tcW w:w="3400" w:type="dxa"/>
          </w:tcPr>
          <w:p w14:paraId="6572FF1A" w14:textId="77777777" w:rsidR="00810E9F" w:rsidRDefault="00000000">
            <w:r>
              <w:rPr>
                <w:sz w:val="15"/>
              </w:rPr>
              <w:t>Analiza komunikacyjna, s. 4-7</w:t>
            </w:r>
          </w:p>
        </w:tc>
        <w:tc>
          <w:tcPr>
            <w:tcW w:w="3400" w:type="dxa"/>
          </w:tcPr>
          <w:p w14:paraId="07B181C2" w14:textId="77777777" w:rsidR="00810E9F" w:rsidRDefault="00000000">
            <w:r>
              <w:rPr>
                <w:sz w:val="15"/>
              </w:rPr>
              <w:t>Opracowanie bada dojazd z drogi powiatowej do działki; zakłada ruch ok. 20 pojazdów ciężarowych/dobę/pas i nową drogę gminną.</w:t>
            </w:r>
          </w:p>
        </w:tc>
        <w:tc>
          <w:tcPr>
            <w:tcW w:w="3400" w:type="dxa"/>
          </w:tcPr>
          <w:p w14:paraId="3FCBA5E0" w14:textId="77777777" w:rsidR="00810E9F" w:rsidRDefault="00000000">
            <w:r>
              <w:rPr>
                <w:sz w:val="15"/>
              </w:rPr>
              <w:t>Zarzut transportowy jest objęty odrębną analizą techniczną.</w:t>
            </w:r>
          </w:p>
        </w:tc>
      </w:tr>
      <w:tr w:rsidR="00810E9F" w14:paraId="396BAA9E" w14:textId="77777777">
        <w:tc>
          <w:tcPr>
            <w:tcW w:w="3400" w:type="dxa"/>
          </w:tcPr>
          <w:p w14:paraId="68CBC430" w14:textId="77777777" w:rsidR="00810E9F" w:rsidRDefault="00000000">
            <w:r>
              <w:rPr>
                <w:sz w:val="15"/>
              </w:rPr>
              <w:t>Analiza komunikacyjna, wnioski</w:t>
            </w:r>
          </w:p>
        </w:tc>
        <w:tc>
          <w:tcPr>
            <w:tcW w:w="3400" w:type="dxa"/>
          </w:tcPr>
          <w:p w14:paraId="6C324246" w14:textId="77777777" w:rsidR="00810E9F" w:rsidRDefault="00000000">
            <w:r>
              <w:rPr>
                <w:sz w:val="15"/>
              </w:rPr>
              <w:t>Wskazano, że rozwiązanie zapewnia obsługę transportową, poprawia bezpieczeństwo i dostępność gruntów rolnych oraz rekomenduje procedowanie ZPI.</w:t>
            </w:r>
          </w:p>
        </w:tc>
        <w:tc>
          <w:tcPr>
            <w:tcW w:w="3400" w:type="dxa"/>
          </w:tcPr>
          <w:p w14:paraId="5F256A4B" w14:textId="77777777" w:rsidR="00810E9F" w:rsidRDefault="00000000">
            <w:r>
              <w:rPr>
                <w:sz w:val="15"/>
              </w:rPr>
              <w:t>Transport jest elementem inwestycji uzupełniającej, a nie pominiętym skutkiem ubocznym.</w:t>
            </w:r>
          </w:p>
        </w:tc>
      </w:tr>
    </w:tbl>
    <w:p w14:paraId="727D5466" w14:textId="77777777" w:rsidR="00810E9F" w:rsidRDefault="00000000">
      <w:pPr>
        <w:pBdr>
          <w:bottom w:val="single" w:sz="10" w:space="4" w:color="2FB56A"/>
        </w:pBdr>
        <w:spacing w:before="200" w:after="120" w:line="240" w:lineRule="auto"/>
      </w:pPr>
      <w:r>
        <w:rPr>
          <w:b/>
          <w:color w:val="162D53"/>
          <w:sz w:val="36"/>
        </w:rPr>
        <w:t>10. Konkluzja formalna</w:t>
      </w:r>
    </w:p>
    <w:p w14:paraId="4D1BC790" w14:textId="77777777" w:rsidR="00810E9F" w:rsidRDefault="00000000">
      <w:pPr>
        <w:spacing w:after="120" w:line="240" w:lineRule="auto"/>
      </w:pPr>
      <w:r>
        <w:t>Green-en wnosi o prowadzenie dalszej debaty z uwzględnieniem pełnej dokumentacji projektowej. Uchwała Nr XX/141/26 wskazuje ważne obawy społeczne, jednak nie przedstawia analizy dowodowej równoważnej z Raportem OOŚ, projektem ZPI i analizą komunikacyjną.</w:t>
      </w:r>
    </w:p>
    <w:p w14:paraId="3DC3B88D" w14:textId="77777777" w:rsidR="00810E9F" w:rsidRDefault="00000000">
      <w:pPr>
        <w:spacing w:after="120" w:line="240" w:lineRule="auto"/>
      </w:pPr>
      <w:r>
        <w:t>W ocenie Green-en zasadne jest kontynuowanie ustawowych procedur oraz umożliwienie właściwym organom dokonania merytorycznej oceny wpływu inwestycji. Wstrzymanie lub odrzucenie dyskusji przed zakończeniem tych procedur mogłoby prowadzić do podejmowania decyzji nie na podstawie pełnego materiału dowodowego, lecz na podstawie jednostronnego obrazu ryzyk.</w:t>
      </w:r>
    </w:p>
    <w:p w14:paraId="188BDFE1" w14:textId="77777777" w:rsidR="00810E9F" w:rsidRDefault="00000000">
      <w:pPr>
        <w:spacing w:after="120" w:line="240" w:lineRule="auto"/>
      </w:pPr>
      <w:r>
        <w:t>Green-en potwierdza gotowość do udziału w spotkaniach informacyjnych, przedstawienia ekspertów oraz omawiania raportu środowiskowego i rozwiązań drogowych z mieszkańcami oraz Radą Gminy.</w:t>
      </w:r>
    </w:p>
    <w:p w14:paraId="4918685F" w14:textId="77777777" w:rsidR="00810E9F" w:rsidRDefault="00000000">
      <w:r>
        <w:br w:type="page"/>
      </w:r>
    </w:p>
    <w:p w14:paraId="4868CFBD" w14:textId="77777777" w:rsidR="00810E9F" w:rsidRDefault="00000000">
      <w:pPr>
        <w:pBdr>
          <w:bottom w:val="single" w:sz="10" w:space="4" w:color="2FB56A"/>
        </w:pBdr>
        <w:spacing w:before="200" w:after="120" w:line="240" w:lineRule="auto"/>
      </w:pPr>
      <w:r>
        <w:rPr>
          <w:b/>
          <w:color w:val="162D53"/>
          <w:sz w:val="36"/>
        </w:rPr>
        <w:lastRenderedPageBreak/>
        <w:t>Załącznik graficzny: rysunek ZPI</w:t>
      </w:r>
    </w:p>
    <w:p w14:paraId="77F66D95" w14:textId="77777777" w:rsidR="00810E9F" w:rsidRDefault="00000000">
      <w:pPr>
        <w:spacing w:after="120" w:line="240" w:lineRule="auto"/>
      </w:pPr>
      <w:r>
        <w:t>Poniżej wstawiono rysunek planu ZPI jako materiał poglądowy do dalszego opracowania graficznego.</w:t>
      </w:r>
    </w:p>
    <w:p w14:paraId="43D6EADC" w14:textId="77777777" w:rsidR="00810E9F" w:rsidRDefault="00000000">
      <w:r>
        <w:rPr>
          <w:noProof/>
        </w:rPr>
        <w:drawing>
          <wp:inline distT="0" distB="0" distL="0" distR="0" wp14:anchorId="1E792786" wp14:editId="28EE0657">
            <wp:extent cx="6120000" cy="59019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i_map_page.png"/>
                    <pic:cNvPicPr/>
                  </pic:nvPicPr>
                  <pic:blipFill>
                    <a:blip r:embed="rId10"/>
                    <a:stretch>
                      <a:fillRect/>
                    </a:stretch>
                  </pic:blipFill>
                  <pic:spPr>
                    <a:xfrm>
                      <a:off x="0" y="0"/>
                      <a:ext cx="6120000" cy="5901901"/>
                    </a:xfrm>
                    <a:prstGeom prst="rect">
                      <a:avLst/>
                    </a:prstGeom>
                  </pic:spPr>
                </pic:pic>
              </a:graphicData>
            </a:graphic>
          </wp:inline>
        </w:drawing>
      </w:r>
    </w:p>
    <w:sectPr w:rsidR="00810E9F" w:rsidSect="00034616">
      <w:footerReference w:type="default" r:id="rId11"/>
      <w:pgSz w:w="12240" w:h="15840"/>
      <w:pgMar w:top="964"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9954" w14:textId="77777777" w:rsidR="00AA106F" w:rsidRDefault="00AA106F">
      <w:pPr>
        <w:spacing w:after="0" w:line="240" w:lineRule="auto"/>
      </w:pPr>
      <w:r>
        <w:separator/>
      </w:r>
    </w:p>
  </w:endnote>
  <w:endnote w:type="continuationSeparator" w:id="0">
    <w:p w14:paraId="046566E6" w14:textId="77777777" w:rsidR="00AA106F" w:rsidRDefault="00AA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FFD1" w14:textId="324239D4" w:rsidR="00810E9F" w:rsidRDefault="00000000">
    <w:pPr>
      <w:pStyle w:val="Stopka"/>
      <w:jc w:val="right"/>
    </w:pPr>
    <w:r>
      <w:t xml:space="preserve">Green-en Sp. z </w:t>
    </w:r>
    <w:proofErr w:type="spellStart"/>
    <w:r w:rsidR="009A0C00">
      <w:t>o.o.</w:t>
    </w:r>
    <w:proofErr w:type="spellEnd"/>
    <w:r>
      <w:t xml:space="preserve"> | </w:t>
    </w:r>
    <w:proofErr w:type="spellStart"/>
    <w:r>
      <w:t>Stanowisko</w:t>
    </w:r>
    <w:proofErr w:type="spellEnd"/>
    <w:r>
      <w:t xml:space="preserve"> w </w:t>
    </w:r>
    <w:proofErr w:type="spellStart"/>
    <w:r>
      <w:t>sprawie</w:t>
    </w:r>
    <w:proofErr w:type="spellEnd"/>
    <w:r>
      <w:t xml:space="preserve"> </w:t>
    </w:r>
    <w:proofErr w:type="spellStart"/>
    <w:r>
      <w:t>Uchwały</w:t>
    </w:r>
    <w:proofErr w:type="spellEnd"/>
    <w:r>
      <w:t xml:space="preserve"> Nr XX/141/26 | str. </w:t>
    </w:r>
    <w:r>
      <w:fldChar w:fldCharType="begin"/>
    </w:r>
    <w:r>
      <w:instrText>PAGE</w:instrText>
    </w:r>
    <w:r w:rsidR="009A0C00">
      <w:fldChar w:fldCharType="separate"/>
    </w:r>
    <w:r w:rsidR="009A0C0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11BF5" w14:textId="77777777" w:rsidR="00AA106F" w:rsidRDefault="00AA106F">
      <w:pPr>
        <w:spacing w:after="0" w:line="240" w:lineRule="auto"/>
      </w:pPr>
      <w:r>
        <w:separator/>
      </w:r>
    </w:p>
  </w:footnote>
  <w:footnote w:type="continuationSeparator" w:id="0">
    <w:p w14:paraId="6D819E64" w14:textId="77777777" w:rsidR="00AA106F" w:rsidRDefault="00AA1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622691014">
    <w:abstractNumId w:val="8"/>
  </w:num>
  <w:num w:numId="2" w16cid:durableId="403187490">
    <w:abstractNumId w:val="6"/>
  </w:num>
  <w:num w:numId="3" w16cid:durableId="203836940">
    <w:abstractNumId w:val="5"/>
  </w:num>
  <w:num w:numId="4" w16cid:durableId="196742156">
    <w:abstractNumId w:val="4"/>
  </w:num>
  <w:num w:numId="5" w16cid:durableId="266691625">
    <w:abstractNumId w:val="7"/>
  </w:num>
  <w:num w:numId="6" w16cid:durableId="642661366">
    <w:abstractNumId w:val="3"/>
  </w:num>
  <w:num w:numId="7" w16cid:durableId="953748239">
    <w:abstractNumId w:val="2"/>
  </w:num>
  <w:num w:numId="8" w16cid:durableId="103497051">
    <w:abstractNumId w:val="1"/>
  </w:num>
  <w:num w:numId="9" w16cid:durableId="159732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B5D3B"/>
    <w:rsid w:val="00810E9F"/>
    <w:rsid w:val="009A0C00"/>
    <w:rsid w:val="00AA106F"/>
    <w:rsid w:val="00AA1D8D"/>
    <w:rsid w:val="00B47730"/>
    <w:rsid w:val="00CB0664"/>
    <w:rsid w:val="00D322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675122"/>
  <w14:defaultImageDpi w14:val="300"/>
  <w15:docId w15:val="{3DA41940-DAF3-4E0A-9BBD-E6055E2E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color w:val="000000"/>
      <w:sz w:val="19"/>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162D53"/>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162D53"/>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162D53"/>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62D53"/>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2846</Words>
  <Characters>17080</Characters>
  <Application>Microsoft Office Word</Application>
  <DocSecurity>0</DocSecurity>
  <Lines>142</Lines>
  <Paragraphs>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Stanowisko Green-en w sprawie Uchwały Nr XX/141/26 Rady Gminy Bukowiec</vt:lpstr>
      <vt:lpstr/>
    </vt:vector>
  </TitlesOfParts>
  <Manager/>
  <Company/>
  <LinksUpToDate>false</LinksUpToDate>
  <CharactersWithSpaces>19887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Stanowisko Green-en w sprawie Uchwały Nr XX/141/26 Rady Gminy Bukowiec</dc:title>
  <dc:subject>Odpowiedź merytoryczna na uchwałę Rady Gminy Bukowiec</dc:subject>
  <dc:creator>Green-en Sp. z o.o.</dc:creator>
  <cp:keywords>Green-en, Bukowiec, Przysiersk, biometan, ZPI, OOŚ, stanowisko</cp:keywords>
  <dc:description>generated by python-docx</dc:description>
  <cp:lastModifiedBy>Damian Alama</cp:lastModifiedBy>
  <cp:revision>2</cp:revision>
  <dcterms:created xsi:type="dcterms:W3CDTF">2026-07-02T12:48:00Z</dcterms:created>
  <dcterms:modified xsi:type="dcterms:W3CDTF">2026-07-02T12:48:00Z</dcterms:modified>
  <cp:category/>
</cp:coreProperties>
</file>